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8.png" ContentType="image/png"/>
  <Override PartName="/word/media/rId103.png" ContentType="image/png"/>
  <Override PartName="/word/media/rId99.png" ContentType="image/png"/>
  <Override PartName="/word/media/rId93.png" ContentType="image/png"/>
  <Override PartName="/word/media/rId56.png" ContentType="image/png"/>
  <Override PartName="/word/media/rId61.png" ContentType="image/png"/>
  <Override PartName="/word/media/rId76.png" ContentType="image/png"/>
  <Override PartName="/word/media/rId80.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Minerva, Erin Kelly, and</w:t>
      </w:r>
      <w:r>
        <w:t xml:space="preserve"> </w:t>
      </w:r>
      <w:r>
        <w:t xml:space="preserve">Eric Riggs. My field data would have been measly at best were it not for the</w:t>
      </w:r>
      <w:r>
        <w:t xml:space="preserve"> </w:t>
      </w:r>
      <w:r>
        <w:t xml:space="preserve">dedicated efforts of our field crew: Allen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 There has</w:t>
      </w:r>
      <w:r>
        <w:t xml:space="preserve"> </w:t>
      </w:r>
      <w:r>
        <w:t xml:space="preserve">been little scientific investigation into the development 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w:t>
      </w:r>
      <w:r>
        <w:t xml:space="preserve">pyrosilviculture</w:t>
      </w:r>
      <w:r>
        <w:t xml:space="preserve">”</w:t>
      </w:r>
      <w:r>
        <w:t xml:space="preserve"> </w:t>
      </w:r>
      <w:r>
        <w:t xml:space="preserve">(North et al., 2021)</w:t>
      </w:r>
      <w:r>
        <w:t xml:space="preserve">. It is my hope that this thesis</w:t>
      </w:r>
      <w:r>
        <w:t xml:space="preserve"> </w:t>
      </w:r>
      <w:r>
        <w:t xml:space="preserve">serve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w:t>
      </w:r>
      <w:r>
        <w:t xml:space="preserve">fuels management</w:t>
      </w:r>
      <w:r>
        <w:t xml:space="preserve">”</w:t>
      </w:r>
      <w:r>
        <w:t xml:space="preserve"> </w:t>
      </w:r>
      <w:r>
        <w:t xml:space="preserve">activities</w:t>
      </w:r>
      <w:r>
        <w:t xml:space="preserve"> </w:t>
      </w:r>
      <w:r>
        <w:t xml:space="preserve">(York et al., 2021)</w:t>
      </w:r>
      <w:r>
        <w:t xml:space="preserve">. The ability to envision</w:t>
      </w:r>
      <w:r>
        <w:t xml:space="preserve"> </w:t>
      </w:r>
      <w:r>
        <w:t xml:space="preserve">these realms of understanding as integral and essential pieces of a common</w:t>
      </w:r>
      <w:r>
        <w:t xml:space="preserve"> </w:t>
      </w:r>
      <w:r>
        <w:t xml:space="preserve">forest stewardship will lead to new insights and increase our capacity for</w:t>
      </w:r>
      <w:r>
        <w:t xml:space="preserve"> </w:t>
      </w:r>
      <w:r>
        <w:t xml:space="preserve">better land 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 California, the 20,000-ha Jackson Demonstration State Forest</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 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1"/>
    <w:bookmarkStart w:id="42"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2.54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w:t>
      </w:r>
      <w:r>
        <w:t xml:space="preserve"> </w:t>
      </w:r>
      <w:r>
        <w:t xml:space="preserve">including multiple measurements of individuals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w:t>
      </w:r>
      <w:r>
        <w:t xml:space="preserve"> </w:t>
      </w:r>
      <w:r>
        <w:t xml:space="preserve">R package emmeans</w:t>
      </w:r>
      <w:r>
        <w:t xml:space="preserve"> </w:t>
      </w:r>
      <w:r>
        <w:t xml:space="preserve">(Lenth, 2021)</w:t>
      </w:r>
      <w:r>
        <w:t xml:space="preserv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1"/>
              </w:numPr>
              <w:pStyle w:val="Compact"/>
            </w:pPr>
            <w:r>
              <w:t xml:space="preserve">what kind of predictions am I using, are they unit level or population level</w:t>
            </w:r>
            <w:r>
              <w:t xml:space="preserve"> </w:t>
            </w:r>
            <w:r>
              <w:t xml:space="preserve">predictions?</w:t>
            </w:r>
          </w:p>
          <w:p>
            <w:pPr>
              <w:numPr>
                <w:ilvl w:val="0"/>
                <w:numId w:val="1001"/>
              </w:numPr>
              <w:pStyle w:val="Compact"/>
            </w:pPr>
            <w:r>
              <w:t xml:space="preserve">How and when are predictions back-transformed to the response scale from the</w:t>
            </w:r>
            <w:r>
              <w:t xml:space="preserve"> </w:t>
            </w:r>
            <w:r>
              <w:t xml:space="preserve">link scale?</w:t>
            </w:r>
          </w:p>
          <w:p>
            <w:pPr>
              <w:numPr>
                <w:ilvl w:val="0"/>
                <w:numId w:val="1001"/>
              </w:numPr>
              <w:pStyle w:val="Compact"/>
            </w:pPr>
            <w:r>
              <w:t xml:space="preserve">Are these conditional predictions? Conditioned on what? Or are they marginal</w:t>
            </w:r>
            <w:r>
              <w:t xml:space="preserve"> </w:t>
            </w:r>
            <w:r>
              <w:t xml:space="preserve">predictions?</w:t>
            </w:r>
            <w:r>
              <w:t xml:space="preserve"> </w:t>
            </w:r>
            <w:r>
              <w:t xml:space="preserve">(</w:t>
            </w:r>
            <w:r>
              <w:rPr>
                <w:bCs/>
                <w:b/>
              </w:rPr>
              <w:t xml:space="preserve">heissMarginalConditionalEffects?</w:t>
            </w:r>
            <w:r>
              <w:t xml:space="preserve">)</w:t>
            </w:r>
          </w:p>
          <w:p>
            <w:pPr>
              <w:numPr>
                <w:ilvl w:val="0"/>
                <w:numId w:val="1001"/>
              </w:numPr>
              <w:pStyle w:val="Compact"/>
            </w:pPr>
            <w:r>
              <w:t xml:space="preserve">I would like to write my models in formal notation similar to</w:t>
            </w:r>
            <w:r>
              <w:t xml:space="preserve"> </w:t>
            </w:r>
            <w:r>
              <w:t xml:space="preserve">(</w:t>
            </w:r>
            <w:r>
              <w:rPr>
                <w:bCs/>
                <w:b/>
              </w:rPr>
              <w:t xml:space="preserve">heissMarginalConditionalEffects?</w:t>
            </w:r>
            <w:r>
              <w:t xml:space="preserve">)</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endChr m:val=")"/>
                          <m:sep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endChr m:val=")"/>
                          <m:sep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endChr m:val=")"/>
                          <m:sepChr m:val=""/>
                          <m:grow/>
                        </m:dPr>
                        <m:e>
                          <m:r>
                            <m:t>0</m:t>
                          </m:r>
                          <m:r>
                            <m:rPr>
                              <m:sty m:val="p"/>
                            </m:rPr>
                            <m:t>,</m:t>
                          </m:r>
                          <m:sSub>
                            <m:e>
                              <m:r>
                                <m:t>σ</m:t>
                              </m:r>
                            </m:e>
                            <m:sub>
                              <m:r>
                                <m:t>0</m:t>
                              </m:r>
                            </m:sub>
                          </m:sSub>
                        </m:e>
                      </m:d>
                    </m:e>
                    <m:e>
                      <m:r>
                        <m:rPr>
                          <m:nor/>
                          <m:sty m:val="p"/>
                        </m:rPr>
                        <m:t>Random country offsets from global average</m:t>
                      </m:r>
                    </m:e>
                  </m:mr>
                </m:m>
              </m:oMath>
            </m:oMathPara>
          </w:p>
        </w:tc>
      </w:tr>
    </w:tbl>
    <w:bookmarkStart w:id="48" w:name="fuels-1"/>
    <w:p>
      <w:pPr>
        <w:pStyle w:val="Heading3"/>
      </w:pPr>
      <w:r>
        <w:t xml:space="preserve">2.4.1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w:t>
      </w:r>
      <w:r>
        <w:t xml:space="preserve">sound</w:t>
      </w:r>
      <w:r>
        <w:t xml:space="preserve">”</w:t>
      </w:r>
      <w:r>
        <w:t xml:space="preserve"> </w:t>
      </w:r>
      <w:r>
        <w:t xml:space="preserve">and decay classes</w:t>
      </w:r>
      <w:r>
        <w:t xml:space="preserve"> </w:t>
      </w:r>
      <w:r>
        <w:t xml:space="preserve">4 and 5 were considered</w:t>
      </w:r>
      <w:r>
        <w:t xml:space="preserve"> </w:t>
      </w:r>
      <w:r>
        <w:t xml:space="preserve">“</w:t>
      </w:r>
      <w:r>
        <w:t xml:space="preserve">rotten</w:t>
      </w:r>
      <w:r>
        <w:t xml:space="preserve">”</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and these loadings were combined and</w:t>
      </w:r>
      <w:r>
        <w:t xml:space="preserve"> </w:t>
      </w:r>
      <w:r>
        <w:t xml:space="preserve">averaged at the transect level (again there were two measurements per transect)</w:t>
      </w:r>
      <w:r>
        <w:t xml:space="preserve"> </w:t>
      </w:r>
      <w:r>
        <w:t xml:space="preserve">to determine total vegetation loading. Herbaceous fuel loading was generally</w:t>
      </w:r>
      <w:r>
        <w:t xml:space="preserve"> </w:t>
      </w:r>
      <w:r>
        <w:t xml:space="preserve">very low.</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this data included</w:t>
      </w:r>
      <w:r>
        <w:t xml:space="preserve"> </w:t>
      </w:r>
      <w:r>
        <w:rPr>
          <w:rStyle w:val="VerbatimChar"/>
        </w:rPr>
        <w:t xml:space="preserve">tree</w:t>
      </w:r>
      <w:r>
        <w:t xml:space="preserve"> </w:t>
      </w:r>
      <w:r>
        <w:t xml:space="preserve">as a candidate random effect.</w:t>
      </w:r>
      <w:r>
        <w:t xml:space="preserve"> </w:t>
      </w:r>
      <w:r>
        <w:t xml:space="preserve">While not making a difference for analysis results, it is worth noting that this</w:t>
      </w:r>
      <w:r>
        <w:t xml:space="preserve"> </w:t>
      </w:r>
      <w:r>
        <w:t xml:space="preserve">data was structured differently from the other datasets in that</w:t>
      </w:r>
      <w:r>
        <w:t xml:space="preserve"> </w:t>
      </w:r>
      <w:r>
        <w:rPr>
          <w:rStyle w:val="VerbatimChar"/>
        </w:rPr>
        <w:t xml:space="preserve">plot</w:t>
      </w:r>
      <w:r>
        <w:t xml:space="preserve"> </w:t>
      </w:r>
      <w:r>
        <w:t xml:space="preserve">was made</w:t>
      </w:r>
      <w:r>
        <w:t xml:space="preserve"> </w:t>
      </w:r>
      <w:r>
        <w:t xml:space="preserve">a globally unique identifier, thus making explicit the nesting of plots within</w:t>
      </w:r>
      <w:r>
        <w:t xml:space="preserve"> </w:t>
      </w:r>
      <w:r>
        <w:t xml:space="preserve">sites or treatments and eliminating the need to specify this nesting structure</w:t>
      </w:r>
      <w:r>
        <w:t xml:space="preserve"> </w:t>
      </w:r>
      <w:r>
        <w:t xml:space="preserve">in the R code model formulas.</w:t>
      </w:r>
    </w:p>
    <w:bookmarkEnd w:id="49"/>
    <w:bookmarkStart w:id="50" w:name="regeneration-density"/>
    <w:p>
      <w:pPr>
        <w:pStyle w:val="Heading3"/>
      </w:pPr>
      <w:r>
        <w:t xml:space="preserve">2.4.3 Regeneration density</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w:t>
      </w:r>
      <w:r>
        <w:t xml:space="preserve">other</w:t>
      </w:r>
      <w:r>
        <w:t xml:space="preserve">”</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50"/>
    <w:bookmarkEnd w:id="51"/>
    <w:bookmarkEnd w:id="52"/>
    <w:bookmarkStart w:id="109" w:name="results"/>
    <w:p>
      <w:pPr>
        <w:pStyle w:val="Heading1"/>
      </w:pPr>
      <w:r>
        <w:t xml:space="preserve">3. Results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3" name="Picture"/>
                  <a:graphic>
                    <a:graphicData uri="http://schemas.openxmlformats.org/drawingml/2006/picture">
                      <pic:pic>
                        <pic:nvPicPr>
                          <pic:cNvPr descr="C:\Users\walki\AppData\Local\Programs\Quarto\share\formats\docx\caution.png" id="5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I’ve provided all the comparison results, most of which are not</w:t>
            </w:r>
            <w:r>
              <w:t xml:space="preserve"> </w:t>
            </w:r>
            <w:r>
              <w:t xml:space="preserve">statistically significant. Maybe I should also provide grand mean, summary</w:t>
            </w:r>
            <w:r>
              <w:t xml:space="preserve"> </w:t>
            </w:r>
            <w:r>
              <w:t xml:space="preserve">results.</w:t>
            </w:r>
          </w:p>
        </w:tc>
      </w:tr>
    </w:tbl>
    <w:bookmarkStart w:id="74" w:name="regeneration-composition"/>
    <w:p>
      <w:pPr>
        <w:pStyle w:val="Heading2"/>
      </w:pPr>
      <w:r>
        <w:t xml:space="preserve">3.1 Regeneration composition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species, and their interaction</w:t>
      </w:r>
      <w:r>
        <w:t xml:space="preserve"> </w:t>
      </w:r>
      <w:r>
        <w:t xml:space="preserve">and random effects for sites and macro-plots (4 vegetation plots per</w:t>
      </w:r>
      <w:r>
        <w:t xml:space="preserve"> </w:t>
      </w:r>
      <w:r>
        <w:t xml:space="preserve">macro-plot). Dispersion was modeled separately as a function of species, using a</w:t>
      </w:r>
      <w:r>
        <w:t xml:space="preserve"> </w:t>
      </w:r>
      <w:r>
        <w:t xml:space="preserve">log link and the rate of zeros was modeled using the logit link, for each</w:t>
      </w:r>
      <w:r>
        <w:t xml:space="preserve"> </w:t>
      </w:r>
      <w:r>
        <w:t xml:space="preserve">species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5"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site/treat)  </w:t>
            </w:r>
            <w:r>
              <w:br/>
            </w:r>
            <w:r>
              <w:rPr>
                <w:rStyle w:val="VerbatimChar"/>
              </w:rPr>
              <w:t xml:space="preserve">Dispersion: ~spp (log) </w:t>
            </w:r>
            <w:r>
              <w:br/>
            </w:r>
            <w:r>
              <w:rPr>
                <w:rStyle w:val="VerbatimChar"/>
              </w:rPr>
              <w:t xml:space="preserve">Hurdle: ~spp (logit) </w:t>
            </w:r>
          </w:p>
          <w:bookmarkEnd w:id="55"/>
        </w:tc>
      </w:tr>
    </w:tbl>
    <w:p>
      <w:pPr>
        <w:pStyle w:val="FirstParagraph"/>
      </w:pPr>
      <w:r>
        <w:t xml:space="preserve">According to this model, we would expect five times as much basal area of other</w:t>
      </w:r>
      <w:r>
        <w:t xml:space="preserve"> </w:t>
      </w:r>
      <w:r>
        <w:t xml:space="preserve">species in LD compared to HA (p = 0.034), and six times more other species</w:t>
      </w:r>
      <w:r>
        <w:t xml:space="preserve"> </w:t>
      </w:r>
      <w:r>
        <w:t xml:space="preserve">basal area in HD compared to HA (p = 0.014), but the presence of other species</w:t>
      </w:r>
      <w:r>
        <w:t xml:space="preserve"> </w:t>
      </w:r>
      <w:r>
        <w:t xml:space="preserve">was generally less than 0.75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We expect 5 times more redwood regeneration basal area in the GS treatment</w:t>
      </w:r>
      <w:r>
        <w:t xml:space="preserve"> </w:t>
      </w:r>
      <w:r>
        <w:t xml:space="preserve">compared to HA (p = 0.03), and 7 times compared to HD (p = 0.02).</w:t>
      </w:r>
    </w:p>
    <w:p>
      <w:pPr>
        <w:pStyle w:val="BodyText"/>
      </w:pPr>
      <w:r>
        <w:t xml:space="preserve">For tanoak, we expect about twice as much regeneration basal area in the GS</w:t>
      </w:r>
      <w:r>
        <w:t xml:space="preserve"> </w:t>
      </w:r>
      <w:r>
        <w:t xml:space="preserve">treatment compared to HA (p = 0.03).</w:t>
      </w:r>
    </w:p>
    <w:p>
      <w:pPr>
        <w:pStyle w:val="SourceCode"/>
      </w:pPr>
      <w:r>
        <w:rPr>
          <w:rStyle w:val="VerbatimChar"/>
        </w:rPr>
        <w:t xml:space="preserve">Warning in checkTerms(data.tmb1$terms, data.tmb0$terms): Predicting new random effect levels for terms: 1 | treat:site</w:t>
      </w:r>
      <w:r>
        <w:br/>
      </w:r>
      <w:r>
        <w:rPr>
          <w:rStyle w:val="VerbatimChar"/>
        </w:rPr>
        <w:t xml:space="preserve">Disable this warning with 'allow.new.levels=TRUE'</w:t>
      </w:r>
    </w:p>
    <w:tbl>
      <w:tblPr>
        <w:tblStyle w:val="Table"/>
        <w:tblW w:type="pct" w:w="5000"/>
        <w:tblLook w:firstRow="0" w:lastRow="0" w:firstColumn="0" w:lastColumn="0" w:noHBand="0" w:noVBand="0" w:val="0000"/>
        <w:jc w:val="start"/>
        <w:tblLayout w:type="fixed"/>
      </w:tblPr>
      <w:tblGrid>
        <w:gridCol w:w="7920"/>
      </w:tblGrid>
      <w:tr>
        <w:tc>
          <w:tcPr/>
          <w:bookmarkStart w:id="59" w:name="fig-regen-ba"/>
          <w:p>
            <w:pPr>
              <w:pStyle w:val="Compact"/>
              <w:jc w:val="center"/>
            </w:pPr>
            <w:r>
              <w:drawing>
                <wp:inline>
                  <wp:extent cx="4620126" cy="3696101"/>
                  <wp:effectExtent b="0" l="0" r="0" t="0"/>
                  <wp:docPr descr="" title="" id="57" name="Picture"/>
                  <a:graphic>
                    <a:graphicData uri="http://schemas.openxmlformats.org/drawingml/2006/picture">
                      <pic:pic>
                        <pic:nvPicPr>
                          <pic:cNvPr descr="thesis/results_files/figure-docx/fig-regen-ba-1.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black dots—the mean, and non-overlapping blue arrows signify statistical significance (α = 0.05).</w:t>
            </w:r>
          </w:p>
          <w:bookmarkEnd w:id="59"/>
        </w:tc>
      </w:tr>
    </w:tbl>
    <w:p>
      <w:pPr>
        <w:pStyle w:val="SourceCode"/>
      </w:pPr>
      <w:r>
        <w:rPr>
          <w:rStyle w:val="VerbatimChar"/>
        </w:rPr>
        <w:t xml:space="preserve">Warning in checkTerms(data.tmb1$terms, data.tmb0$terms): Predicting new random effect levels for terms: 1 | treat:site</w:t>
      </w:r>
      <w:r>
        <w:br/>
      </w:r>
      <w:r>
        <w:rPr>
          <w:rStyle w:val="VerbatimChar"/>
        </w:rPr>
        <w:t xml:space="preserve">Disable this warning with 'allow.new.levels=TRUE'</w:t>
      </w:r>
    </w:p>
    <w:tbl>
      <w:tblPr>
        <w:tblStyle w:val="Table"/>
        <w:tblW w:type="pct" w:w="5000"/>
        <w:tblLook w:firstRow="0" w:lastRow="0" w:firstColumn="0" w:lastColumn="0" w:noHBand="0" w:noVBand="0" w:val="0000"/>
        <w:jc w:val="start"/>
        <w:tblLayout w:type="fixed"/>
      </w:tblPr>
      <w:tblGrid>
        <w:gridCol w:w="7920"/>
      </w:tblGrid>
      <w:tr>
        <w:tc>
          <w:tcPr/>
          <w:bookmarkStart w:id="60" w:name="tbl-regen-ba"/>
          <w:p>
            <w:pPr>
              <w:jc w:val="center"/>
            </w:pPr>
            <w:pPr>
              <w:jc w:val="start"/>
              <w:spacing w:before="200"/>
              <w:pStyle w:val="ImageCaption"/>
            </w:pPr>
            <w:r>
              <w:t xml:space="preserve">Table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w:t>
            </w:r>
          </w:p>
          <w:tbl>
            <w:tblPr>
              <w:tblStyle w:val="Table"/>
              <w:tblW w:type="pct" w:w="4375"/>
              <w:tblLook w:firstRow="1" w:lastRow="0" w:firstColumn="0" w:lastColumn="0" w:noHBand="0" w:noVBand="0" w:val="0020"/>
              <w:jc w:val="start"/>
              <w:tblLayout w:type="fixed"/>
            </w:tblPr>
            <w:tblGrid>
              <w:gridCol w:w="880"/>
              <w:gridCol w:w="880"/>
              <w:gridCol w:w="990"/>
              <w:gridCol w:w="88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treat</w:t>
                  </w:r>
                </w:p>
              </w:tc>
              <w:tc>
                <w:tcPr/>
                <w:p>
                  <w:pPr>
                    <w:pStyle w:val="Compact"/>
                    <w:jc w:val="left"/>
                    <w:jc w:val="center"/>
                  </w:pPr>
                  <w:r>
                    <w:t xml:space="preserve">emmean</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gs</w:t>
                  </w:r>
                </w:p>
              </w:tc>
              <w:tc>
                <w:tcPr/>
                <w:p>
                  <w:pPr>
                    <w:pStyle w:val="Compact"/>
                    <w:jc w:val="left"/>
                    <w:jc w:val="center"/>
                  </w:pPr>
                  <w:r>
                    <w:t xml:space="preserve">0.065</w:t>
                  </w:r>
                </w:p>
              </w:tc>
              <w:tc>
                <w:tcPr/>
                <w:p>
                  <w:pPr>
                    <w:pStyle w:val="Compact"/>
                    <w:jc w:val="left"/>
                    <w:jc w:val="center"/>
                  </w:pPr>
                  <w:r>
                    <w:t xml:space="preserve">0.039</w:t>
                  </w:r>
                </w:p>
              </w:tc>
              <w:tc>
                <w:tcPr/>
                <w:p>
                  <w:pPr>
                    <w:pStyle w:val="Compact"/>
                    <w:jc w:val="left"/>
                    <w:jc w:val="center"/>
                  </w:pPr>
                  <w:r>
                    <w:t xml:space="preserve">Inf</w:t>
                  </w:r>
                </w:p>
              </w:tc>
              <w:tc>
                <w:tcPr/>
                <w:p>
                  <w:pPr>
                    <w:pStyle w:val="Compact"/>
                    <w:jc w:val="left"/>
                    <w:jc w:val="center"/>
                  </w:pPr>
                  <w:r>
                    <w:t xml:space="preserve">-0.01193</w:t>
                  </w:r>
                </w:p>
              </w:tc>
              <w:tc>
                <w:tcPr/>
                <w:p>
                  <w:pPr>
                    <w:pStyle w:val="Compact"/>
                    <w:jc w:val="left"/>
                    <w:jc w:val="center"/>
                  </w:pPr>
                  <w:r>
                    <w:t xml:space="preserve">0.142</w:t>
                  </w:r>
                </w:p>
              </w:tc>
            </w:tr>
            <w:tr>
              <w:tc>
                <w:tcPr/>
                <w:p>
                  <w:pPr>
                    <w:pStyle w:val="Compact"/>
                    <w:jc w:val="left"/>
                    <w:jc w:val="center"/>
                  </w:pPr>
                  <w:r>
                    <w:t xml:space="preserve">other</w:t>
                  </w:r>
                </w:p>
              </w:tc>
              <w:tc>
                <w:tcPr/>
                <w:p>
                  <w:pPr>
                    <w:pStyle w:val="Compact"/>
                    <w:jc w:val="left"/>
                    <w:jc w:val="center"/>
                  </w:pPr>
                  <w:r>
                    <w:t xml:space="preserve">ld</w:t>
                  </w:r>
                </w:p>
              </w:tc>
              <w:tc>
                <w:tcPr/>
                <w:p>
                  <w:pPr>
                    <w:pStyle w:val="Compact"/>
                    <w:jc w:val="left"/>
                    <w:jc w:val="center"/>
                  </w:pPr>
                  <w:r>
                    <w:t xml:space="preserve">0.15</w:t>
                  </w:r>
                </w:p>
              </w:tc>
              <w:tc>
                <w:tcPr/>
                <w:p>
                  <w:pPr>
                    <w:pStyle w:val="Compact"/>
                    <w:jc w:val="left"/>
                    <w:jc w:val="center"/>
                  </w:pPr>
                  <w:r>
                    <w:t xml:space="preserve">0.073</w:t>
                  </w:r>
                </w:p>
              </w:tc>
              <w:tc>
                <w:tcPr/>
                <w:p>
                  <w:pPr>
                    <w:pStyle w:val="Compact"/>
                    <w:jc w:val="left"/>
                    <w:jc w:val="center"/>
                  </w:pPr>
                  <w:r>
                    <w:t xml:space="preserve">Inf</w:t>
                  </w:r>
                </w:p>
              </w:tc>
              <w:tc>
                <w:tcPr/>
                <w:p>
                  <w:pPr>
                    <w:pStyle w:val="Compact"/>
                    <w:jc w:val="left"/>
                    <w:jc w:val="center"/>
                  </w:pPr>
                  <w:r>
                    <w:t xml:space="preserve">0.0065</w:t>
                  </w:r>
                </w:p>
              </w:tc>
              <w:tc>
                <w:tcPr/>
                <w:p>
                  <w:pPr>
                    <w:pStyle w:val="Compact"/>
                    <w:jc w:val="left"/>
                    <w:jc w:val="center"/>
                  </w:pPr>
                  <w:r>
                    <w:t xml:space="preserve">0.293</w:t>
                  </w:r>
                </w:p>
              </w:tc>
            </w:tr>
            <w:tr>
              <w:tc>
                <w:tcPr/>
                <w:p>
                  <w:pPr>
                    <w:pStyle w:val="Compact"/>
                    <w:jc w:val="left"/>
                    <w:jc w:val="center"/>
                  </w:pPr>
                  <w:r>
                    <w:t xml:space="preserve">other</w:t>
                  </w:r>
                </w:p>
              </w:tc>
              <w:tc>
                <w:tcPr/>
                <w:p>
                  <w:pPr>
                    <w:pStyle w:val="Compact"/>
                    <w:jc w:val="left"/>
                    <w:jc w:val="center"/>
                  </w:pPr>
                  <w:r>
                    <w:t xml:space="preserve">ha</w:t>
                  </w:r>
                </w:p>
              </w:tc>
              <w:tc>
                <w:tcPr/>
                <w:p>
                  <w:pPr>
                    <w:pStyle w:val="Compact"/>
                    <w:jc w:val="left"/>
                    <w:jc w:val="center"/>
                  </w:pPr>
                  <w:r>
                    <w:t xml:space="preserve">0.026</w:t>
                  </w:r>
                </w:p>
              </w:tc>
              <w:tc>
                <w:tcPr/>
                <w:p>
                  <w:pPr>
                    <w:pStyle w:val="Compact"/>
                    <w:jc w:val="left"/>
                    <w:jc w:val="center"/>
                  </w:pPr>
                  <w:r>
                    <w:t xml:space="preserve">0.013</w:t>
                  </w:r>
                </w:p>
              </w:tc>
              <w:tc>
                <w:tcPr/>
                <w:p>
                  <w:pPr>
                    <w:pStyle w:val="Compact"/>
                    <w:jc w:val="left"/>
                    <w:jc w:val="center"/>
                  </w:pPr>
                  <w:r>
                    <w:t xml:space="preserve">Inf</w:t>
                  </w:r>
                </w:p>
              </w:tc>
              <w:tc>
                <w:tcPr/>
                <w:p>
                  <w:pPr>
                    <w:pStyle w:val="Compact"/>
                    <w:jc w:val="left"/>
                    <w:jc w:val="center"/>
                  </w:pPr>
                  <w:r>
                    <w:t xml:space="preserve">0.00029</w:t>
                  </w:r>
                </w:p>
              </w:tc>
              <w:tc>
                <w:tcPr/>
                <w:p>
                  <w:pPr>
                    <w:pStyle w:val="Compact"/>
                    <w:jc w:val="left"/>
                    <w:jc w:val="center"/>
                  </w:pPr>
                  <w:r>
                    <w:t xml:space="preserve">0.053</w:t>
                  </w:r>
                </w:p>
              </w:tc>
            </w:tr>
            <w:tr>
              <w:tc>
                <w:tcPr/>
                <w:p>
                  <w:pPr>
                    <w:pStyle w:val="Compact"/>
                    <w:jc w:val="left"/>
                    <w:jc w:val="center"/>
                  </w:pPr>
                  <w:r>
                    <w:t xml:space="preserve">other</w:t>
                  </w:r>
                </w:p>
              </w:tc>
              <w:tc>
                <w:tcPr/>
                <w:p>
                  <w:pPr>
                    <w:pStyle w:val="Compact"/>
                    <w:jc w:val="left"/>
                    <w:jc w:val="center"/>
                  </w:pPr>
                  <w:r>
                    <w:t xml:space="preserve">hd</w:t>
                  </w:r>
                </w:p>
              </w:tc>
              <w:tc>
                <w:tcPr/>
                <w:p>
                  <w:pPr>
                    <w:pStyle w:val="Compact"/>
                    <w:jc w:val="left"/>
                    <w:jc w:val="center"/>
                  </w:pPr>
                  <w:r>
                    <w:t xml:space="preserve">0.162</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0.02407</w:t>
                  </w:r>
                </w:p>
              </w:tc>
              <w:tc>
                <w:tcPr/>
                <w:p>
                  <w:pPr>
                    <w:pStyle w:val="Compact"/>
                    <w:jc w:val="left"/>
                    <w:jc w:val="center"/>
                  </w:pPr>
                  <w:r>
                    <w:t xml:space="preserve">0.3</w:t>
                  </w:r>
                </w:p>
              </w:tc>
            </w:tr>
            <w:tr>
              <w:tc>
                <w:tcPr/>
                <w:p>
                  <w:pPr>
                    <w:pStyle w:val="Compact"/>
                    <w:jc w:val="left"/>
                    <w:jc w:val="center"/>
                  </w:pPr>
                  <w:r>
                    <w:t xml:space="preserve">df</w:t>
                  </w:r>
                </w:p>
              </w:tc>
              <w:tc>
                <w:tcPr/>
                <w:p>
                  <w:pPr>
                    <w:pStyle w:val="Compact"/>
                    <w:jc w:val="left"/>
                    <w:jc w:val="center"/>
                  </w:pPr>
                  <w:r>
                    <w:t xml:space="preserve">gs</w:t>
                  </w:r>
                </w:p>
              </w:tc>
              <w:tc>
                <w:tcPr/>
                <w:p>
                  <w:pPr>
                    <w:pStyle w:val="Compact"/>
                    <w:jc w:val="left"/>
                    <w:jc w:val="center"/>
                  </w:pPr>
                  <w:r>
                    <w:t xml:space="preserve">0.274</w:t>
                  </w:r>
                </w:p>
              </w:tc>
              <w:tc>
                <w:tcPr/>
                <w:p>
                  <w:pPr>
                    <w:pStyle w:val="Compact"/>
                    <w:jc w:val="left"/>
                    <w:jc w:val="center"/>
                  </w:pPr>
                  <w:r>
                    <w:t xml:space="preserve">0.099</w:t>
                  </w:r>
                </w:p>
              </w:tc>
              <w:tc>
                <w:tcPr/>
                <w:p>
                  <w:pPr>
                    <w:pStyle w:val="Compact"/>
                    <w:jc w:val="left"/>
                    <w:jc w:val="center"/>
                  </w:pPr>
                  <w:r>
                    <w:t xml:space="preserve">Inf</w:t>
                  </w:r>
                </w:p>
              </w:tc>
              <w:tc>
                <w:tcPr/>
                <w:p>
                  <w:pPr>
                    <w:pStyle w:val="Compact"/>
                    <w:jc w:val="left"/>
                    <w:jc w:val="center"/>
                  </w:pPr>
                  <w:r>
                    <w:t xml:space="preserve">0.07872</w:t>
                  </w:r>
                </w:p>
              </w:tc>
              <w:tc>
                <w:tcPr/>
                <w:p>
                  <w:pPr>
                    <w:pStyle w:val="Compact"/>
                    <w:jc w:val="left"/>
                    <w:jc w:val="center"/>
                  </w:pPr>
                  <w:r>
                    <w:t xml:space="preserve">0.468</w:t>
                  </w:r>
                </w:p>
              </w:tc>
            </w:tr>
            <w:tr>
              <w:tc>
                <w:tcPr/>
                <w:p>
                  <w:pPr>
                    <w:pStyle w:val="Compact"/>
                    <w:jc w:val="left"/>
                    <w:jc w:val="center"/>
                  </w:pPr>
                  <w:r>
                    <w:t xml:space="preserve">df</w:t>
                  </w:r>
                </w:p>
              </w:tc>
              <w:tc>
                <w:tcPr/>
                <w:p>
                  <w:pPr>
                    <w:pStyle w:val="Compact"/>
                    <w:jc w:val="left"/>
                    <w:jc w:val="center"/>
                  </w:pPr>
                  <w:r>
                    <w:t xml:space="preserve">ld</w:t>
                  </w:r>
                </w:p>
              </w:tc>
              <w:tc>
                <w:tcPr/>
                <w:p>
                  <w:pPr>
                    <w:pStyle w:val="Compact"/>
                    <w:jc w:val="left"/>
                    <w:jc w:val="center"/>
                  </w:pPr>
                  <w:r>
                    <w:t xml:space="preserve">0.113</w:t>
                  </w:r>
                </w:p>
              </w:tc>
              <w:tc>
                <w:tcPr/>
                <w:p>
                  <w:pPr>
                    <w:pStyle w:val="Compact"/>
                    <w:jc w:val="left"/>
                    <w:jc w:val="center"/>
                  </w:pPr>
                  <w:r>
                    <w:t xml:space="preserve">0.042</w:t>
                  </w:r>
                </w:p>
              </w:tc>
              <w:tc>
                <w:tcPr/>
                <w:p>
                  <w:pPr>
                    <w:pStyle w:val="Compact"/>
                    <w:jc w:val="left"/>
                    <w:jc w:val="center"/>
                  </w:pPr>
                  <w:r>
                    <w:t xml:space="preserve">Inf</w:t>
                  </w:r>
                </w:p>
              </w:tc>
              <w:tc>
                <w:tcPr/>
                <w:p>
                  <w:pPr>
                    <w:pStyle w:val="Compact"/>
                    <w:jc w:val="left"/>
                    <w:jc w:val="center"/>
                  </w:pPr>
                  <w:r>
                    <w:t xml:space="preserve">0.03045</w:t>
                  </w:r>
                </w:p>
              </w:tc>
              <w:tc>
                <w:tcPr/>
                <w:p>
                  <w:pPr>
                    <w:pStyle w:val="Compact"/>
                    <w:jc w:val="left"/>
                    <w:jc w:val="center"/>
                  </w:pPr>
                  <w:r>
                    <w:t xml:space="preserve">0.195</w:t>
                  </w:r>
                </w:p>
              </w:tc>
            </w:tr>
            <w:tr>
              <w:tc>
                <w:tcPr/>
                <w:p>
                  <w:pPr>
                    <w:pStyle w:val="Compact"/>
                    <w:jc w:val="left"/>
                    <w:jc w:val="center"/>
                  </w:pPr>
                  <w:r>
                    <w:t xml:space="preserve">df</w:t>
                  </w:r>
                </w:p>
              </w:tc>
              <w:tc>
                <w:tcPr/>
                <w:p>
                  <w:pPr>
                    <w:pStyle w:val="Compact"/>
                    <w:jc w:val="left"/>
                    <w:jc w:val="center"/>
                  </w:pPr>
                  <w:r>
                    <w:t xml:space="preserve">ha</w:t>
                  </w:r>
                </w:p>
              </w:tc>
              <w:tc>
                <w:tcPr/>
                <w:p>
                  <w:pPr>
                    <w:pStyle w:val="Compact"/>
                    <w:jc w:val="left"/>
                    <w:jc w:val="center"/>
                  </w:pPr>
                  <w:r>
                    <w:t xml:space="preserve">0.193</w:t>
                  </w:r>
                </w:p>
              </w:tc>
              <w:tc>
                <w:tcPr/>
                <w:p>
                  <w:pPr>
                    <w:pStyle w:val="Compact"/>
                    <w:jc w:val="left"/>
                    <w:jc w:val="center"/>
                  </w:pPr>
                  <w:r>
                    <w:t xml:space="preserve">0.081</w:t>
                  </w:r>
                </w:p>
              </w:tc>
              <w:tc>
                <w:tcPr/>
                <w:p>
                  <w:pPr>
                    <w:pStyle w:val="Compact"/>
                    <w:jc w:val="left"/>
                    <w:jc w:val="center"/>
                  </w:pPr>
                  <w:r>
                    <w:t xml:space="preserve">Inf</w:t>
                  </w:r>
                </w:p>
              </w:tc>
              <w:tc>
                <w:tcPr/>
                <w:p>
                  <w:pPr>
                    <w:pStyle w:val="Compact"/>
                    <w:jc w:val="left"/>
                    <w:jc w:val="center"/>
                  </w:pPr>
                  <w:r>
                    <w:t xml:space="preserve">0.03523</w:t>
                  </w:r>
                </w:p>
              </w:tc>
              <w:tc>
                <w:tcPr/>
                <w:p>
                  <w:pPr>
                    <w:pStyle w:val="Compact"/>
                    <w:jc w:val="left"/>
                    <w:jc w:val="center"/>
                  </w:pPr>
                  <w:r>
                    <w:t xml:space="preserve">0.351</w:t>
                  </w:r>
                </w:p>
              </w:tc>
            </w:tr>
            <w:tr>
              <w:tc>
                <w:tcPr/>
                <w:p>
                  <w:pPr>
                    <w:pStyle w:val="Compact"/>
                    <w:jc w:val="left"/>
                    <w:jc w:val="center"/>
                  </w:pPr>
                  <w:r>
                    <w:t xml:space="preserve">df</w:t>
                  </w:r>
                </w:p>
              </w:tc>
              <w:tc>
                <w:tcPr/>
                <w:p>
                  <w:pPr>
                    <w:pStyle w:val="Compact"/>
                    <w:jc w:val="left"/>
                    <w:jc w:val="center"/>
                  </w:pPr>
                  <w:r>
                    <w:t xml:space="preserve">hd</w:t>
                  </w:r>
                </w:p>
              </w:tc>
              <w:tc>
                <w:tcPr/>
                <w:p>
                  <w:pPr>
                    <w:pStyle w:val="Compact"/>
                    <w:jc w:val="left"/>
                    <w:jc w:val="center"/>
                  </w:pPr>
                  <w:r>
                    <w:t xml:space="preserve">0.126</w:t>
                  </w:r>
                </w:p>
              </w:tc>
              <w:tc>
                <w:tcPr/>
                <w:p>
                  <w:pPr>
                    <w:pStyle w:val="Compact"/>
                    <w:jc w:val="left"/>
                    <w:jc w:val="center"/>
                  </w:pPr>
                  <w:r>
                    <w:t xml:space="preserve">0.046</w:t>
                  </w:r>
                </w:p>
              </w:tc>
              <w:tc>
                <w:tcPr/>
                <w:p>
                  <w:pPr>
                    <w:pStyle w:val="Compact"/>
                    <w:jc w:val="left"/>
                    <w:jc w:val="center"/>
                  </w:pPr>
                  <w:r>
                    <w:t xml:space="preserve">Inf</w:t>
                  </w:r>
                </w:p>
              </w:tc>
              <w:tc>
                <w:tcPr/>
                <w:p>
                  <w:pPr>
                    <w:pStyle w:val="Compact"/>
                    <w:jc w:val="left"/>
                    <w:jc w:val="center"/>
                  </w:pPr>
                  <w:r>
                    <w:t xml:space="preserve">0.03601</w:t>
                  </w:r>
                </w:p>
              </w:tc>
              <w:tc>
                <w:tcPr/>
                <w:p>
                  <w:pPr>
                    <w:pStyle w:val="Compact"/>
                    <w:jc w:val="left"/>
                    <w:jc w:val="center"/>
                  </w:pPr>
                  <w:r>
                    <w:t xml:space="preserve">0.215</w:t>
                  </w:r>
                </w:p>
              </w:tc>
            </w:tr>
            <w:tr>
              <w:tc>
                <w:tcPr/>
                <w:p>
                  <w:pPr>
                    <w:pStyle w:val="Compact"/>
                    <w:jc w:val="left"/>
                    <w:jc w:val="center"/>
                  </w:pPr>
                  <w:r>
                    <w:t xml:space="preserve">rw</w:t>
                  </w:r>
                </w:p>
              </w:tc>
              <w:tc>
                <w:tcPr/>
                <w:p>
                  <w:pPr>
                    <w:pStyle w:val="Compact"/>
                    <w:jc w:val="left"/>
                    <w:jc w:val="center"/>
                  </w:pPr>
                  <w:r>
                    <w:t xml:space="preserve">gs</w:t>
                  </w:r>
                </w:p>
              </w:tc>
              <w:tc>
                <w:tcPr/>
                <w:p>
                  <w:pPr>
                    <w:pStyle w:val="Compact"/>
                    <w:jc w:val="left"/>
                    <w:jc w:val="center"/>
                  </w:pPr>
                  <w:r>
                    <w:t xml:space="preserve">8.991</w:t>
                  </w:r>
                </w:p>
              </w:tc>
              <w:tc>
                <w:tcPr/>
                <w:p>
                  <w:pPr>
                    <w:pStyle w:val="Compact"/>
                    <w:jc w:val="left"/>
                    <w:jc w:val="center"/>
                  </w:pPr>
                  <w:r>
                    <w:t xml:space="preserve">3.701</w:t>
                  </w:r>
                </w:p>
              </w:tc>
              <w:tc>
                <w:tcPr/>
                <w:p>
                  <w:pPr>
                    <w:pStyle w:val="Compact"/>
                    <w:jc w:val="left"/>
                    <w:jc w:val="center"/>
                  </w:pPr>
                  <w:r>
                    <w:t xml:space="preserve">Inf</w:t>
                  </w:r>
                </w:p>
              </w:tc>
              <w:tc>
                <w:tcPr/>
                <w:p>
                  <w:pPr>
                    <w:pStyle w:val="Compact"/>
                    <w:jc w:val="left"/>
                    <w:jc w:val="center"/>
                  </w:pPr>
                  <w:r>
                    <w:t xml:space="preserve">1.73691</w:t>
                  </w:r>
                </w:p>
              </w:tc>
              <w:tc>
                <w:tcPr/>
                <w:p>
                  <w:pPr>
                    <w:pStyle w:val="Compact"/>
                    <w:jc w:val="left"/>
                    <w:jc w:val="center"/>
                  </w:pPr>
                  <w:r>
                    <w:t xml:space="preserve">16.245</w:t>
                  </w:r>
                </w:p>
              </w:tc>
            </w:tr>
            <w:tr>
              <w:tc>
                <w:tcPr/>
                <w:p>
                  <w:pPr>
                    <w:pStyle w:val="Compact"/>
                    <w:jc w:val="left"/>
                    <w:jc w:val="center"/>
                  </w:pPr>
                  <w:r>
                    <w:t xml:space="preserve">rw</w:t>
                  </w:r>
                </w:p>
              </w:tc>
              <w:tc>
                <w:tcPr/>
                <w:p>
                  <w:pPr>
                    <w:pStyle w:val="Compact"/>
                    <w:jc w:val="left"/>
                    <w:jc w:val="center"/>
                  </w:pPr>
                  <w:r>
                    <w:t xml:space="preserve">ld</w:t>
                  </w:r>
                </w:p>
              </w:tc>
              <w:tc>
                <w:tcPr/>
                <w:p>
                  <w:pPr>
                    <w:pStyle w:val="Compact"/>
                    <w:jc w:val="left"/>
                    <w:jc w:val="center"/>
                  </w:pPr>
                  <w:r>
                    <w:t xml:space="preserve">4.022</w:t>
                  </w:r>
                </w:p>
              </w:tc>
              <w:tc>
                <w:tcPr/>
                <w:p>
                  <w:pPr>
                    <w:pStyle w:val="Compact"/>
                    <w:jc w:val="left"/>
                    <w:jc w:val="center"/>
                  </w:pPr>
                  <w:r>
                    <w:t xml:space="preserve">1.795</w:t>
                  </w:r>
                </w:p>
              </w:tc>
              <w:tc>
                <w:tcPr/>
                <w:p>
                  <w:pPr>
                    <w:pStyle w:val="Compact"/>
                    <w:jc w:val="left"/>
                    <w:jc w:val="center"/>
                  </w:pPr>
                  <w:r>
                    <w:t xml:space="preserve">Inf</w:t>
                  </w:r>
                </w:p>
              </w:tc>
              <w:tc>
                <w:tcPr/>
                <w:p>
                  <w:pPr>
                    <w:pStyle w:val="Compact"/>
                    <w:jc w:val="left"/>
                    <w:jc w:val="center"/>
                  </w:pPr>
                  <w:r>
                    <w:t xml:space="preserve">0.50455</w:t>
                  </w:r>
                </w:p>
              </w:tc>
              <w:tc>
                <w:tcPr/>
                <w:p>
                  <w:pPr>
                    <w:pStyle w:val="Compact"/>
                    <w:jc w:val="left"/>
                    <w:jc w:val="center"/>
                  </w:pPr>
                  <w:r>
                    <w:t xml:space="preserve">7.539</w:t>
                  </w:r>
                </w:p>
              </w:tc>
            </w:tr>
            <w:tr>
              <w:tc>
                <w:tcPr/>
                <w:p>
                  <w:pPr>
                    <w:pStyle w:val="Compact"/>
                    <w:jc w:val="left"/>
                    <w:jc w:val="center"/>
                  </w:pPr>
                  <w:r>
                    <w:t xml:space="preserve">rw</w:t>
                  </w:r>
                </w:p>
              </w:tc>
              <w:tc>
                <w:tcPr/>
                <w:p>
                  <w:pPr>
                    <w:pStyle w:val="Compact"/>
                    <w:jc w:val="left"/>
                    <w:jc w:val="center"/>
                  </w:pPr>
                  <w:r>
                    <w:t xml:space="preserve">ha</w:t>
                  </w:r>
                </w:p>
              </w:tc>
              <w:tc>
                <w:tcPr/>
                <w:p>
                  <w:pPr>
                    <w:pStyle w:val="Compact"/>
                    <w:jc w:val="left"/>
                    <w:jc w:val="center"/>
                  </w:pPr>
                  <w:r>
                    <w:t xml:space="preserve">1.799</w:t>
                  </w:r>
                </w:p>
              </w:tc>
              <w:tc>
                <w:tcPr/>
                <w:p>
                  <w:pPr>
                    <w:pStyle w:val="Compact"/>
                    <w:jc w:val="left"/>
                    <w:jc w:val="center"/>
                  </w:pPr>
                  <w:r>
                    <w:t xml:space="preserve">0.826</w:t>
                  </w:r>
                </w:p>
              </w:tc>
              <w:tc>
                <w:tcPr/>
                <w:p>
                  <w:pPr>
                    <w:pStyle w:val="Compact"/>
                    <w:jc w:val="left"/>
                    <w:jc w:val="center"/>
                  </w:pPr>
                  <w:r>
                    <w:t xml:space="preserve">Inf</w:t>
                  </w:r>
                </w:p>
              </w:tc>
              <w:tc>
                <w:tcPr/>
                <w:p>
                  <w:pPr>
                    <w:pStyle w:val="Compact"/>
                    <w:jc w:val="left"/>
                    <w:jc w:val="center"/>
                  </w:pPr>
                  <w:r>
                    <w:t xml:space="preserve">0.17952</w:t>
                  </w:r>
                </w:p>
              </w:tc>
              <w:tc>
                <w:tcPr/>
                <w:p>
                  <w:pPr>
                    <w:pStyle w:val="Compact"/>
                    <w:jc w:val="left"/>
                    <w:jc w:val="center"/>
                  </w:pPr>
                  <w:r>
                    <w:t xml:space="preserve">3.419</w:t>
                  </w:r>
                </w:p>
              </w:tc>
            </w:tr>
            <w:tr>
              <w:tc>
                <w:tcPr/>
                <w:p>
                  <w:pPr>
                    <w:pStyle w:val="Compact"/>
                    <w:jc w:val="left"/>
                    <w:jc w:val="center"/>
                  </w:pPr>
                  <w:r>
                    <w:t xml:space="preserve">rw</w:t>
                  </w:r>
                </w:p>
              </w:tc>
              <w:tc>
                <w:tcPr/>
                <w:p>
                  <w:pPr>
                    <w:pStyle w:val="Compact"/>
                    <w:jc w:val="left"/>
                    <w:jc w:val="center"/>
                  </w:pPr>
                  <w:r>
                    <w:t xml:space="preserve">hd</w:t>
                  </w:r>
                </w:p>
              </w:tc>
              <w:tc>
                <w:tcPr/>
                <w:p>
                  <w:pPr>
                    <w:pStyle w:val="Compact"/>
                    <w:jc w:val="left"/>
                    <w:jc w:val="center"/>
                  </w:pPr>
                  <w:r>
                    <w:t xml:space="preserve">1.327</w:t>
                  </w:r>
                </w:p>
              </w:tc>
              <w:tc>
                <w:tcPr/>
                <w:p>
                  <w:pPr>
                    <w:pStyle w:val="Compact"/>
                    <w:jc w:val="left"/>
                    <w:jc w:val="center"/>
                  </w:pPr>
                  <w:r>
                    <w:t xml:space="preserve">0.708</w:t>
                  </w:r>
                </w:p>
              </w:tc>
              <w:tc>
                <w:tcPr/>
                <w:p>
                  <w:pPr>
                    <w:pStyle w:val="Compact"/>
                    <w:jc w:val="left"/>
                    <w:jc w:val="center"/>
                  </w:pPr>
                  <w:r>
                    <w:t xml:space="preserve">Inf</w:t>
                  </w:r>
                </w:p>
              </w:tc>
              <w:tc>
                <w:tcPr/>
                <w:p>
                  <w:pPr>
                    <w:pStyle w:val="Compact"/>
                    <w:jc w:val="left"/>
                    <w:jc w:val="center"/>
                  </w:pPr>
                  <w:r>
                    <w:t xml:space="preserve">-0.0615</w:t>
                  </w:r>
                </w:p>
              </w:tc>
              <w:tc>
                <w:tcPr/>
                <w:p>
                  <w:pPr>
                    <w:pStyle w:val="Compact"/>
                    <w:jc w:val="left"/>
                    <w:jc w:val="center"/>
                  </w:pPr>
                  <w:r>
                    <w:t xml:space="preserve">2.715</w:t>
                  </w:r>
                </w:p>
              </w:tc>
            </w:tr>
            <w:tr>
              <w:tc>
                <w:tcPr/>
                <w:p>
                  <w:pPr>
                    <w:pStyle w:val="Compact"/>
                    <w:jc w:val="left"/>
                    <w:jc w:val="center"/>
                  </w:pPr>
                  <w:r>
                    <w:t xml:space="preserve">to</w:t>
                  </w:r>
                </w:p>
              </w:tc>
              <w:tc>
                <w:tcPr/>
                <w:p>
                  <w:pPr>
                    <w:pStyle w:val="Compact"/>
                    <w:jc w:val="left"/>
                    <w:jc w:val="center"/>
                  </w:pPr>
                  <w:r>
                    <w:t xml:space="preserve">gs</w:t>
                  </w:r>
                </w:p>
              </w:tc>
              <w:tc>
                <w:tcPr/>
                <w:p>
                  <w:pPr>
                    <w:pStyle w:val="Compact"/>
                    <w:jc w:val="left"/>
                    <w:jc w:val="center"/>
                  </w:pPr>
                  <w:r>
                    <w:t xml:space="preserve">2.211</w:t>
                  </w:r>
                </w:p>
              </w:tc>
              <w:tc>
                <w:tcPr/>
                <w:p>
                  <w:pPr>
                    <w:pStyle w:val="Compact"/>
                    <w:jc w:val="left"/>
                    <w:jc w:val="center"/>
                  </w:pPr>
                  <w:r>
                    <w:t xml:space="preserve">0.562</w:t>
                  </w:r>
                </w:p>
              </w:tc>
              <w:tc>
                <w:tcPr/>
                <w:p>
                  <w:pPr>
                    <w:pStyle w:val="Compact"/>
                    <w:jc w:val="left"/>
                    <w:jc w:val="center"/>
                  </w:pPr>
                  <w:r>
                    <w:t xml:space="preserve">Inf</w:t>
                  </w:r>
                </w:p>
              </w:tc>
              <w:tc>
                <w:tcPr/>
                <w:p>
                  <w:pPr>
                    <w:pStyle w:val="Compact"/>
                    <w:jc w:val="left"/>
                    <w:jc w:val="center"/>
                  </w:pPr>
                  <w:r>
                    <w:t xml:space="preserve">1.10899</w:t>
                  </w:r>
                </w:p>
              </w:tc>
              <w:tc>
                <w:tcPr/>
                <w:p>
                  <w:pPr>
                    <w:pStyle w:val="Compact"/>
                    <w:jc w:val="left"/>
                    <w:jc w:val="center"/>
                  </w:pPr>
                  <w:r>
                    <w:t xml:space="preserve">3.313</w:t>
                  </w:r>
                </w:p>
              </w:tc>
            </w:tr>
            <w:tr>
              <w:tc>
                <w:tcPr/>
                <w:p>
                  <w:pPr>
                    <w:pStyle w:val="Compact"/>
                    <w:jc w:val="left"/>
                    <w:jc w:val="center"/>
                  </w:pPr>
                  <w:r>
                    <w:t xml:space="preserve">to</w:t>
                  </w:r>
                </w:p>
              </w:tc>
              <w:tc>
                <w:tcPr/>
                <w:p>
                  <w:pPr>
                    <w:pStyle w:val="Compact"/>
                    <w:jc w:val="left"/>
                    <w:jc w:val="center"/>
                  </w:pPr>
                  <w:r>
                    <w:t xml:space="preserve">ld</w:t>
                  </w:r>
                </w:p>
              </w:tc>
              <w:tc>
                <w:tcPr/>
                <w:p>
                  <w:pPr>
                    <w:pStyle w:val="Compact"/>
                    <w:jc w:val="left"/>
                    <w:jc w:val="center"/>
                  </w:pPr>
                  <w:r>
                    <w:t xml:space="preserve">1.895</w:t>
                  </w:r>
                </w:p>
              </w:tc>
              <w:tc>
                <w:tcPr/>
                <w:p>
                  <w:pPr>
                    <w:pStyle w:val="Compact"/>
                    <w:jc w:val="left"/>
                    <w:jc w:val="center"/>
                  </w:pPr>
                  <w:r>
                    <w:t xml:space="preserve">0.502</w:t>
                  </w:r>
                </w:p>
              </w:tc>
              <w:tc>
                <w:tcPr/>
                <w:p>
                  <w:pPr>
                    <w:pStyle w:val="Compact"/>
                    <w:jc w:val="left"/>
                    <w:jc w:val="center"/>
                  </w:pPr>
                  <w:r>
                    <w:t xml:space="preserve">Inf</w:t>
                  </w:r>
                </w:p>
              </w:tc>
              <w:tc>
                <w:tcPr/>
                <w:p>
                  <w:pPr>
                    <w:pStyle w:val="Compact"/>
                    <w:jc w:val="left"/>
                    <w:jc w:val="center"/>
                  </w:pPr>
                  <w:r>
                    <w:t xml:space="preserve">0.91132</w:t>
                  </w:r>
                </w:p>
              </w:tc>
              <w:tc>
                <w:tcPr/>
                <w:p>
                  <w:pPr>
                    <w:pStyle w:val="Compact"/>
                    <w:jc w:val="left"/>
                    <w:jc w:val="center"/>
                  </w:pPr>
                  <w:r>
                    <w:t xml:space="preserve">2.878</w:t>
                  </w:r>
                </w:p>
              </w:tc>
            </w:tr>
            <w:tr>
              <w:tc>
                <w:tcPr/>
                <w:p>
                  <w:pPr>
                    <w:pStyle w:val="Compact"/>
                    <w:jc w:val="left"/>
                    <w:jc w:val="center"/>
                  </w:pPr>
                  <w:r>
                    <w:t xml:space="preserve">to</w:t>
                  </w:r>
                </w:p>
              </w:tc>
              <w:tc>
                <w:tcPr/>
                <w:p>
                  <w:pPr>
                    <w:pStyle w:val="Compact"/>
                    <w:jc w:val="left"/>
                    <w:jc w:val="center"/>
                  </w:pPr>
                  <w:r>
                    <w:t xml:space="preserve">ha</w:t>
                  </w:r>
                </w:p>
              </w:tc>
              <w:tc>
                <w:tcPr/>
                <w:p>
                  <w:pPr>
                    <w:pStyle w:val="Compact"/>
                    <w:jc w:val="left"/>
                    <w:jc w:val="center"/>
                  </w:pPr>
                  <w:r>
                    <w:t xml:space="preserve">0.927</w:t>
                  </w:r>
                </w:p>
              </w:tc>
              <w:tc>
                <w:tcPr/>
                <w:p>
                  <w:pPr>
                    <w:pStyle w:val="Compact"/>
                    <w:jc w:val="left"/>
                    <w:jc w:val="center"/>
                  </w:pPr>
                  <w:r>
                    <w:t xml:space="preserve">0.243</w:t>
                  </w:r>
                </w:p>
              </w:tc>
              <w:tc>
                <w:tcPr/>
                <w:p>
                  <w:pPr>
                    <w:pStyle w:val="Compact"/>
                    <w:jc w:val="left"/>
                    <w:jc w:val="center"/>
                  </w:pPr>
                  <w:r>
                    <w:t xml:space="preserve">Inf</w:t>
                  </w:r>
                </w:p>
              </w:tc>
              <w:tc>
                <w:tcPr/>
                <w:p>
                  <w:pPr>
                    <w:pStyle w:val="Compact"/>
                    <w:jc w:val="left"/>
                    <w:jc w:val="center"/>
                  </w:pPr>
                  <w:r>
                    <w:t xml:space="preserve">0.45163</w:t>
                  </w:r>
                </w:p>
              </w:tc>
              <w:tc>
                <w:tcPr/>
                <w:p>
                  <w:pPr>
                    <w:pStyle w:val="Compact"/>
                    <w:jc w:val="left"/>
                    <w:jc w:val="center"/>
                  </w:pPr>
                  <w:r>
                    <w:t xml:space="preserve">1.402</w:t>
                  </w:r>
                </w:p>
              </w:tc>
            </w:tr>
            <w:tr>
              <w:tc>
                <w:tcPr/>
                <w:p>
                  <w:pPr>
                    <w:pStyle w:val="Compact"/>
                    <w:jc w:val="left"/>
                    <w:jc w:val="center"/>
                  </w:pPr>
                  <w:r>
                    <w:t xml:space="preserve">to</w:t>
                  </w:r>
                </w:p>
              </w:tc>
              <w:tc>
                <w:tcPr/>
                <w:p>
                  <w:pPr>
                    <w:pStyle w:val="Compact"/>
                    <w:jc w:val="left"/>
                    <w:jc w:val="center"/>
                  </w:pPr>
                  <w:r>
                    <w:t xml:space="preserve">hd</w:t>
                  </w:r>
                </w:p>
              </w:tc>
              <w:tc>
                <w:tcPr/>
                <w:p>
                  <w:pPr>
                    <w:pStyle w:val="Compact"/>
                    <w:jc w:val="left"/>
                    <w:jc w:val="center"/>
                  </w:pPr>
                  <w:r>
                    <w:t xml:space="preserve">1.208</w:t>
                  </w:r>
                </w:p>
              </w:tc>
              <w:tc>
                <w:tcPr/>
                <w:p>
                  <w:pPr>
                    <w:pStyle w:val="Compact"/>
                    <w:jc w:val="left"/>
                    <w:jc w:val="center"/>
                  </w:pPr>
                  <w:r>
                    <w:t xml:space="preserve">0.307</w:t>
                  </w:r>
                </w:p>
              </w:tc>
              <w:tc>
                <w:tcPr/>
                <w:p>
                  <w:pPr>
                    <w:pStyle w:val="Compact"/>
                    <w:jc w:val="left"/>
                    <w:jc w:val="center"/>
                  </w:pPr>
                  <w:r>
                    <w:t xml:space="preserve">Inf</w:t>
                  </w:r>
                </w:p>
              </w:tc>
              <w:tc>
                <w:tcPr/>
                <w:p>
                  <w:pPr>
                    <w:pStyle w:val="Compact"/>
                    <w:jc w:val="left"/>
                    <w:jc w:val="center"/>
                  </w:pPr>
                  <w:r>
                    <w:t xml:space="preserve">0.60569</w:t>
                  </w:r>
                </w:p>
              </w:tc>
              <w:tc>
                <w:tcPr/>
                <w:p>
                  <w:pPr>
                    <w:pStyle w:val="Compact"/>
                    <w:jc w:val="left"/>
                    <w:jc w:val="center"/>
                  </w:pPr>
                  <w:r>
                    <w:t xml:space="preserve">1.81</w:t>
                  </w:r>
                </w:p>
              </w:tc>
            </w:tr>
          </w:tbl>
          <w:bookmarkEnd w:id="60"/>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 This shows that we expect</w:t>
      </w:r>
      <w:r>
        <w:t xml:space="preserve"> </w:t>
      </w:r>
      <w:r>
        <w:t xml:space="preserve">on average, five times greater redwood basal area than tanoak basal area in the</w:t>
      </w:r>
      <w:r>
        <w:t xml:space="preserve"> </w:t>
      </w:r>
      <w:r>
        <w:t xml:space="preserve">GS treatment (p &lt; 0.001), and about 2.7 times in the LD treatment (p = 0.039).</w:t>
      </w:r>
      <w:r>
        <w:t xml:space="preserve"> </w:t>
      </w:r>
      <w:r>
        <w:t xml:space="preserve">In the HA treatment, average redwood basal area is expected to be 2.5 times that</w:t>
      </w:r>
      <w:r>
        <w:t xml:space="preserve"> </w:t>
      </w:r>
      <w:r>
        <w:t xml:space="preserve">of tanoak (p = 0.07). The two species were most similar in the HD treatment,</w:t>
      </w:r>
      <w:r>
        <w:t xml:space="preserve"> </w:t>
      </w:r>
      <w:r>
        <w:t xml:space="preserve">where redwood basal area is expected to be 1.4 times that of tanoak (p = 0.56).</w:t>
      </w:r>
      <w:r>
        <w:t xml:space="preserve"> </w:t>
      </w:r>
      <w:r>
        <w:t xml:space="preserve">Redwood variability, indicated by the size of 95% confidence intervals, is much</w:t>
      </w:r>
      <w:r>
        <w:t xml:space="preserve"> </w:t>
      </w:r>
      <w:r>
        <w:t xml:space="preserve">greater than that of tanoak’s across treatments, and redwood variability was</w:t>
      </w:r>
      <w:r>
        <w:t xml:space="preserve"> </w:t>
      </w:r>
      <w:r>
        <w:t xml:space="preserve">greater in GS and LD treatments than in the HA and HD treatments</w:t>
      </w:r>
      <w:r>
        <w:t xml:space="preserve"> </w:t>
      </w:r>
      <w:r>
        <w:t xml:space="preserve">(</w:t>
      </w:r>
      <w:hyperlink w:anchor="fig-regen-ba">
        <w:r>
          <w:rPr>
            <w:rStyle w:val="Hyperlink"/>
          </w:rPr>
          <w:t xml:space="preserve">Figure 3.1</w:t>
        </w:r>
      </w:hyperlink>
      <w:r>
        <w:t xml:space="preserve">).</w:t>
      </w:r>
    </w:p>
    <w:p>
      <w:pPr>
        <w:pStyle w:val="SourceCode"/>
      </w:pPr>
      <w:r>
        <w:rPr>
          <w:rStyle w:val="VerbatimChar"/>
        </w:rPr>
        <w:t xml:space="preserve">Warning in checkTerms(data.tmb1$terms, data.tmb0$terms): Predicting new random effect levels for terms: 1 | treat:site</w:t>
      </w:r>
      <w:r>
        <w:br/>
      </w:r>
      <w:r>
        <w:rPr>
          <w:rStyle w:val="VerbatimChar"/>
        </w:rPr>
        <w:t xml:space="preserve">Disable this warning with 'allow.new.levels=TRUE'</w:t>
      </w:r>
    </w:p>
    <w:tbl>
      <w:tblPr>
        <w:tblStyle w:val="Table"/>
        <w:tblW w:type="pct" w:w="5000"/>
        <w:tblLook w:firstRow="0" w:lastRow="0" w:firstColumn="0" w:lastColumn="0" w:noHBand="0" w:noVBand="0" w:val="0000"/>
        <w:jc w:val="start"/>
        <w:tblLayout w:type="fixed"/>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66" w:name="other-species"/>
    <w:p>
      <w:pPr>
        <w:pStyle w:val="Heading3"/>
      </w:pPr>
      <w:r>
        <w:t xml:space="preserve">3.1.2 Other species</w:t>
      </w:r>
    </w:p>
    <w:p>
      <w:pPr>
        <w:pStyle w:val="FirstParagraph"/>
      </w:pPr>
      <w:r>
        <w:t xml:space="preserve">Other speceis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66"/>
    <w:bookmarkStart w:id="73"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macro-plot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site/treat)  </w:t>
            </w:r>
          </w:p>
          <w:bookmarkEnd w:id="67"/>
        </w:tc>
      </w:tr>
    </w:tbl>
    <w:p>
      <w:pPr>
        <w:pStyle w:val="FirstParagraph"/>
      </w:pPr>
      <w:r>
        <w:t xml:space="preserve">This model for Douglas-fir counts does not result in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p>
      <w:pPr>
        <w:pStyle w:val="SourceCode"/>
      </w:pPr>
      <w:r>
        <w:rPr>
          <w:rStyle w:val="VerbatimChar"/>
        </w:rPr>
        <w:t xml:space="preserve">Warning in checkTerms(data.tmb1$terms, data.tmb0$terms): Predicting new random effect levels for terms: 1 | treat:site</w:t>
      </w:r>
      <w:r>
        <w:br/>
      </w:r>
      <w:r>
        <w:rPr>
          <w:rStyle w:val="VerbatimChar"/>
        </w:rPr>
        <w:t xml:space="preserve">Disable this warning with 'allow.new.levels=TRUE'</w:t>
      </w:r>
    </w:p>
    <w:tbl>
      <w:tblPr>
        <w:tblStyle w:val="Table"/>
        <w:tblW w:type="pct" w:w="5000"/>
        <w:tblLook w:firstRow="0" w:lastRow="0" w:firstColumn="0" w:lastColumn="0" w:noHBand="0" w:noVBand="0" w:val="0000"/>
        <w:jc w:val="start"/>
        <w:tblLayout w:type="fixed"/>
      </w:tblPr>
      <w:tblGrid>
        <w:gridCol w:w="7920"/>
      </w:tblGrid>
      <w:tr>
        <w:tc>
          <w:tcPr/>
          <w:bookmarkStart w:id="71" w:name="fig-df-counts"/>
          <w:p>
            <w:pPr>
              <w:pStyle w:val="Compact"/>
              <w:jc w:val="center"/>
            </w:pPr>
            <w:r>
              <w:drawing>
                <wp:inline>
                  <wp:extent cx="4620126" cy="3696101"/>
                  <wp:effectExtent b="0" l="0" r="0" t="0"/>
                  <wp:docPr descr="" title="" id="69" name="Picture"/>
                  <a:graphic>
                    <a:graphicData uri="http://schemas.openxmlformats.org/drawingml/2006/picture">
                      <pic:pic>
                        <pic:nvPicPr>
                          <pic:cNvPr descr="thesis/results_files/figure-docx/fig-df-counts-1.png" id="7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71"/>
        </w:tc>
      </w:tr>
    </w:tbl>
    <w:p>
      <w:pPr>
        <w:pStyle w:val="SourceCode"/>
      </w:pPr>
      <w:r>
        <w:rPr>
          <w:rStyle w:val="VerbatimChar"/>
        </w:rPr>
        <w:t xml:space="preserve">Warning in checkTerms(data.tmb1$terms, data.tmb0$terms): Predicting new random effect levels for terms: 1 | treat:site</w:t>
      </w:r>
      <w:r>
        <w:br/>
      </w:r>
      <w:r>
        <w:rPr>
          <w:rStyle w:val="VerbatimChar"/>
        </w:rPr>
        <w:t xml:space="preserve">Disable this warning with 'allow.new.levels=TRUE'</w:t>
      </w:r>
    </w:p>
    <w:tbl>
      <w:tblPr>
        <w:tblStyle w:val="Table"/>
        <w:tblW w:type="pct" w:w="5000"/>
        <w:tblLook w:firstRow="0" w:lastRow="0" w:firstColumn="0" w:lastColumn="0" w:noHBand="0" w:noVBand="0" w:val="0000"/>
        <w:jc w:val="start"/>
        <w:tblLayout w:type="fixed"/>
      </w:tblPr>
      <w:tblGrid>
        <w:gridCol w:w="7920"/>
      </w:tblGrid>
      <w:tr>
        <w:tc>
          <w:tcPr/>
          <w:bookmarkStart w:id="72" w:name="tbl-df-counts"/>
          <w:p>
            <w:pPr>
              <w:jc w:val="center"/>
            </w:pPr>
            <w:pPr>
              <w:jc w:val="start"/>
              <w:spacing w:before="200"/>
              <w:pStyle w:val="ImageCaption"/>
            </w:pPr>
            <w:r>
              <w:t xml:space="preserve">Table 3.2: Vegetation plot level counts of regenerating Douglas-fir seedlings in four harvest treatments 10 years after harvest (n = 16). Results have been scaled to stems per hectare from 4-meter radium plots.</w:t>
            </w:r>
          </w:p>
          <w:tbl>
            <w:tblPr>
              <w:tblStyle w:val="Table"/>
              <w:tblW w:type="pct" w:w="3750"/>
              <w:tblLook w:firstRow="1" w:lastRow="0" w:firstColumn="0" w:lastColumn="0" w:noHBand="0" w:noVBand="0" w:val="0020"/>
              <w:jc w:val="start"/>
              <w:tblLayout w:type="fixed"/>
            </w:tblPr>
            <w:tblGrid>
              <w:gridCol w:w="880"/>
              <w:gridCol w:w="990"/>
              <w:gridCol w:w="770"/>
              <w:gridCol w:w="660"/>
              <w:gridCol w:w="1320"/>
              <w:gridCol w:w="1320"/>
            </w:tblGrid>
            <w:tr>
              <w:trPr>
                <w:tblHeader w:val="true"/>
              </w:trPr>
              <w:tc>
                <w:tcPr/>
                <w:p>
                  <w:pPr>
                    <w:pStyle w:val="Compact"/>
                    <w:jc w:val="left"/>
                    <w:jc w:val="center"/>
                  </w:pPr>
                  <w:r>
                    <w:t xml:space="preserve">treat</w:t>
                  </w:r>
                </w:p>
              </w:tc>
              <w:tc>
                <w:tcPr/>
                <w:p>
                  <w:pPr>
                    <w:pStyle w:val="Compact"/>
                    <w:jc w:val="left"/>
                    <w:jc w:val="center"/>
                  </w:pPr>
                  <w:r>
                    <w:t xml:space="preserve">emmean</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gs</w:t>
                  </w:r>
                </w:p>
              </w:tc>
              <w:tc>
                <w:tcPr/>
                <w:p>
                  <w:pPr>
                    <w:pStyle w:val="Compact"/>
                    <w:jc w:val="left"/>
                    <w:jc w:val="center"/>
                  </w:pPr>
                  <w:r>
                    <w:t xml:space="preserve">2</w:t>
                  </w:r>
                </w:p>
              </w:tc>
              <w:tc>
                <w:tcPr/>
                <w:p>
                  <w:pPr>
                    <w:pStyle w:val="Compact"/>
                    <w:jc w:val="left"/>
                    <w:jc w:val="center"/>
                  </w:pPr>
                  <w:r>
                    <w:t xml:space="preserve">0.84</w:t>
                  </w:r>
                </w:p>
              </w:tc>
              <w:tc>
                <w:tcPr/>
                <w:p>
                  <w:pPr>
                    <w:pStyle w:val="Compact"/>
                    <w:jc w:val="left"/>
                    <w:jc w:val="center"/>
                  </w:pPr>
                  <w:r>
                    <w:t xml:space="preserve">Inf</w:t>
                  </w:r>
                </w:p>
              </w:tc>
              <w:tc>
                <w:tcPr/>
                <w:p>
                  <w:pPr>
                    <w:pStyle w:val="Compact"/>
                    <w:jc w:val="left"/>
                    <w:jc w:val="center"/>
                  </w:pPr>
                  <w:r>
                    <w:t xml:space="preserve">0.37</w:t>
                  </w:r>
                </w:p>
              </w:tc>
              <w:tc>
                <w:tcPr/>
                <w:p>
                  <w:pPr>
                    <w:pStyle w:val="Compact"/>
                    <w:jc w:val="left"/>
                    <w:jc w:val="center"/>
                  </w:pPr>
                  <w:r>
                    <w:t xml:space="preserve">3.7</w:t>
                  </w:r>
                </w:p>
              </w:tc>
            </w:tr>
            <w:tr>
              <w:tc>
                <w:tcPr/>
                <w:p>
                  <w:pPr>
                    <w:pStyle w:val="Compact"/>
                    <w:jc w:val="left"/>
                    <w:jc w:val="center"/>
                  </w:pPr>
                  <w:r>
                    <w:t xml:space="preserve">ld</w:t>
                  </w:r>
                </w:p>
              </w:tc>
              <w:tc>
                <w:tcPr/>
                <w:p>
                  <w:pPr>
                    <w:pStyle w:val="Compact"/>
                    <w:jc w:val="left"/>
                    <w:jc w:val="center"/>
                  </w:pPr>
                  <w:r>
                    <w:t xml:space="preserve">1.7</w:t>
                  </w:r>
                </w:p>
              </w:tc>
              <w:tc>
                <w:tcPr/>
                <w:p>
                  <w:pPr>
                    <w:pStyle w:val="Compact"/>
                    <w:jc w:val="left"/>
                    <w:jc w:val="center"/>
                  </w:pPr>
                  <w:r>
                    <w:t xml:space="preserve">0.72</w:t>
                  </w:r>
                </w:p>
              </w:tc>
              <w:tc>
                <w:tcPr/>
                <w:p>
                  <w:pPr>
                    <w:pStyle w:val="Compact"/>
                    <w:jc w:val="left"/>
                    <w:jc w:val="center"/>
                  </w:pPr>
                  <w:r>
                    <w:t xml:space="preserve">Inf</w:t>
                  </w:r>
                </w:p>
              </w:tc>
              <w:tc>
                <w:tcPr/>
                <w:p>
                  <w:pPr>
                    <w:pStyle w:val="Compact"/>
                    <w:jc w:val="left"/>
                    <w:jc w:val="center"/>
                  </w:pPr>
                  <w:r>
                    <w:t xml:space="preserve">0.25</w:t>
                  </w:r>
                </w:p>
              </w:tc>
              <w:tc>
                <w:tcPr/>
                <w:p>
                  <w:pPr>
                    <w:pStyle w:val="Compact"/>
                    <w:jc w:val="left"/>
                    <w:jc w:val="center"/>
                  </w:pPr>
                  <w:r>
                    <w:t xml:space="preserve">3.1</w:t>
                  </w:r>
                </w:p>
              </w:tc>
            </w:tr>
            <w:tr>
              <w:tc>
                <w:tcPr/>
                <w:p>
                  <w:pPr>
                    <w:pStyle w:val="Compact"/>
                    <w:jc w:val="left"/>
                    <w:jc w:val="center"/>
                  </w:pPr>
                  <w:r>
                    <w:t xml:space="preserve">ha</w:t>
                  </w:r>
                </w:p>
              </w:tc>
              <w:tc>
                <w:tcPr/>
                <w:p>
                  <w:pPr>
                    <w:pStyle w:val="Compact"/>
                    <w:jc w:val="left"/>
                    <w:jc w:val="center"/>
                  </w:pPr>
                  <w:r>
                    <w:t xml:space="preserve">1.8</w:t>
                  </w:r>
                </w:p>
              </w:tc>
              <w:tc>
                <w:tcPr/>
                <w:p>
                  <w:pPr>
                    <w:pStyle w:val="Compact"/>
                    <w:jc w:val="left"/>
                    <w:jc w:val="center"/>
                  </w:pPr>
                  <w:r>
                    <w:t xml:space="preserve">0.8</w:t>
                  </w:r>
                </w:p>
              </w:tc>
              <w:tc>
                <w:tcPr/>
                <w:p>
                  <w:pPr>
                    <w:pStyle w:val="Compact"/>
                    <w:jc w:val="left"/>
                    <w:jc w:val="center"/>
                  </w:pPr>
                  <w:r>
                    <w:t xml:space="preserve">Inf</w:t>
                  </w:r>
                </w:p>
              </w:tc>
              <w:tc>
                <w:tcPr/>
                <w:p>
                  <w:pPr>
                    <w:pStyle w:val="Compact"/>
                    <w:jc w:val="left"/>
                    <w:jc w:val="center"/>
                  </w:pPr>
                  <w:r>
                    <w:t xml:space="preserve">0.27</w:t>
                  </w:r>
                </w:p>
              </w:tc>
              <w:tc>
                <w:tcPr/>
                <w:p>
                  <w:pPr>
                    <w:pStyle w:val="Compact"/>
                    <w:jc w:val="left"/>
                    <w:jc w:val="center"/>
                  </w:pPr>
                  <w:r>
                    <w:t xml:space="preserve">3.4</w:t>
                  </w:r>
                </w:p>
              </w:tc>
            </w:tr>
            <w:tr>
              <w:tc>
                <w:tcPr/>
                <w:p>
                  <w:pPr>
                    <w:pStyle w:val="Compact"/>
                    <w:jc w:val="left"/>
                    <w:jc w:val="center"/>
                  </w:pPr>
                  <w:r>
                    <w:t xml:space="preserve">hd</w:t>
                  </w:r>
                </w:p>
              </w:tc>
              <w:tc>
                <w:tcPr/>
                <w:p>
                  <w:pPr>
                    <w:pStyle w:val="Compact"/>
                    <w:jc w:val="left"/>
                    <w:jc w:val="center"/>
                  </w:pPr>
                  <w:r>
                    <w:t xml:space="preserve">2.7</w:t>
                  </w:r>
                </w:p>
              </w:tc>
              <w:tc>
                <w:tcPr/>
                <w:p>
                  <w:pPr>
                    <w:pStyle w:val="Compact"/>
                    <w:jc w:val="left"/>
                    <w:jc w:val="center"/>
                  </w:pPr>
                  <w:r>
                    <w:t xml:space="preserve">1.04</w:t>
                  </w:r>
                </w:p>
              </w:tc>
              <w:tc>
                <w:tcPr/>
                <w:p>
                  <w:pPr>
                    <w:pStyle w:val="Compact"/>
                    <w:jc w:val="left"/>
                    <w:jc w:val="center"/>
                  </w:pPr>
                  <w:r>
                    <w:t xml:space="preserve">Inf</w:t>
                  </w:r>
                </w:p>
              </w:tc>
              <w:tc>
                <w:tcPr/>
                <w:p>
                  <w:pPr>
                    <w:pStyle w:val="Compact"/>
                    <w:jc w:val="left"/>
                    <w:jc w:val="center"/>
                  </w:pPr>
                  <w:r>
                    <w:t xml:space="preserve">0.63</w:t>
                  </w:r>
                </w:p>
              </w:tc>
              <w:tc>
                <w:tcPr/>
                <w:p>
                  <w:pPr>
                    <w:pStyle w:val="Compact"/>
                    <w:jc w:val="left"/>
                    <w:jc w:val="center"/>
                  </w:pPr>
                  <w:r>
                    <w:t xml:space="preserve">4.7</w:t>
                  </w:r>
                </w:p>
              </w:tc>
            </w:tr>
          </w:tbl>
          <w:bookmarkEnd w:id="72"/>
          <w:p/>
        </w:tc>
      </w:tr>
    </w:tbl>
    <w:bookmarkEnd w:id="73"/>
    <w:bookmarkEnd w:id="74"/>
    <w:bookmarkStart w:id="91" w:name="sprout-heights-1"/>
    <w:p>
      <w:pPr>
        <w:pStyle w:val="Heading2"/>
      </w:pPr>
      <w:r>
        <w:t xml:space="preserve">3.2 Sprout heights</w:t>
      </w:r>
    </w:p>
    <w:bookmarkStart w:id="84"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 random slope</w:t>
      </w:r>
      <w:r>
        <w:t xml:space="preserve"> </w:t>
      </w:r>
      <w:r>
        <w:t xml:space="preserve">was included for species. The dispersion parameter for the response was modeled</w:t>
      </w:r>
      <w:r>
        <w:t xml:space="preserve"> </w:t>
      </w:r>
      <w:r>
        <w:t xml:space="preserve">(with a log link) as a function of treatment, growth period, species and all</w:t>
      </w:r>
      <w:r>
        <w:t xml:space="preserve"> </w:t>
      </w:r>
      <w:r>
        <w:t xml:space="preserve">three-way interactions (</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5"/>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presence of treatment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Averaging over growth periods, treatment specific height increments for redwood</w:t>
      </w:r>
      <w:r>
        <w:t xml:space="preserve"> </w:t>
      </w:r>
      <w:r>
        <w:t xml:space="preserve">ranged from 0.66 to 0.86 m yr</w:t>
      </w:r>
      <w:r>
        <w:rPr>
          <w:vertAlign w:val="superscript"/>
        </w:rPr>
        <w:t xml:space="preserve">-1</w:t>
      </w:r>
      <w:r>
        <w:t xml:space="preserve">, and for tanoak, from 0.29 to 0.49, with the</w:t>
      </w:r>
      <w:r>
        <w:t xml:space="preserve"> </w:t>
      </w:r>
      <w:r>
        <w:t xml:space="preserve">slowest growth in the HD treatment and the fastest in the GS treatment. Height</w:t>
      </w:r>
      <w:r>
        <w:t xml:space="preserve"> </w:t>
      </w:r>
      <w:r>
        <w:t xml:space="preserve">increment was greater in the GS treatment than the HA and HD treatments by about</w:t>
      </w:r>
      <w:r>
        <w:t xml:space="preserve"> </w:t>
      </w:r>
      <w:r>
        <w:t xml:space="preserve">0.19 m yr</w:t>
      </w:r>
      <w:r>
        <w:rPr>
          <w:vertAlign w:val="superscript"/>
        </w:rPr>
        <w:t xml:space="preserve">-1</w:t>
      </w:r>
      <w:r>
        <w:t xml:space="preserve"> </w:t>
      </w:r>
      <w:r>
        <w:t xml:space="preserve">(p &lt; 0.001). The LD treatment was intermediate, but not</w:t>
      </w:r>
      <w:r>
        <w:t xml:space="preserve"> </w:t>
      </w:r>
      <w:r>
        <w:t xml:space="preserve">statistically distinguishable from the other treatments (0.13 &lt; p &lt; 0.28).</w:t>
      </w:r>
    </w:p>
    <w:tbl>
      <w:tblPr>
        <w:tblStyle w:val="Table"/>
        <w:tblW w:type="pct" w:w="5000"/>
        <w:tblLook w:firstRow="0" w:lastRow="0" w:firstColumn="0" w:lastColumn="0" w:noHBand="0" w:noVBand="0" w:val="0000"/>
        <w:jc w:val="start"/>
        <w:tblLayout w:type="fixed"/>
      </w:tblPr>
      <w:tblGrid>
        <w:gridCol w:w="7920"/>
      </w:tblGrid>
      <w:tr>
        <w:tc>
          <w:tcPr/>
          <w:bookmarkStart w:id="79" w:name="fig-sprout-ht-inc-treat"/>
          <w:p>
            <w:pPr>
              <w:pStyle w:val="Compact"/>
              <w:jc w:val="center"/>
            </w:pPr>
            <w:r>
              <w:drawing>
                <wp:inline>
                  <wp:extent cx="4620126" cy="3696101"/>
                  <wp:effectExtent b="0" l="0" r="0" t="0"/>
                  <wp:docPr descr="" title="" id="77" name="Picture"/>
                  <a:graphic>
                    <a:graphicData uri="http://schemas.openxmlformats.org/drawingml/2006/picture">
                      <pic:pic>
                        <pic:nvPicPr>
                          <pic:cNvPr descr="thesis/results_files/figure-docx/fig-sprout-ht-inc-treat-1.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9"/>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in the</w:t>
      </w:r>
      <w:r>
        <w:t xml:space="preserve"> </w:t>
      </w:r>
      <w:r>
        <w:t xml:space="preserve">first period and 0.33 m yr</w:t>
      </w:r>
      <w:r>
        <w:rPr>
          <w:vertAlign w:val="superscript"/>
        </w:rPr>
        <w:t xml:space="preserve">-1</w:t>
      </w:r>
      <w:r>
        <w:t xml:space="preserve"> </w:t>
      </w:r>
      <w:r>
        <w:t xml:space="preserve">greater in the second period than tanoak height</w:t>
      </w:r>
      <w:r>
        <w:t xml:space="preserve"> </w:t>
      </w:r>
      <w:r>
        <w:t xml:space="preserve">increment (</w:t>
      </w:r>
      <w:hyperlink w:anchor="fig-sprout-ht-inc-year">
        <w:r>
          <w:rPr>
            <w:rStyle w:val="Hyperlink"/>
          </w:rPr>
          <w:t xml:space="preserve">Figure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 w:name="fig-sprout-ht-inc-year"/>
          <w:p>
            <w:pPr>
              <w:pStyle w:val="Compact"/>
              <w:jc w:val="center"/>
            </w:pPr>
            <w:r>
              <w:drawing>
                <wp:inline>
                  <wp:extent cx="4620126" cy="3696101"/>
                  <wp:effectExtent b="0" l="0" r="0" t="0"/>
                  <wp:docPr descr="" title="" id="81" name="Picture"/>
                  <a:graphic>
                    <a:graphicData uri="http://schemas.openxmlformats.org/drawingml/2006/picture">
                      <pic:pic>
                        <pic:nvPicPr>
                          <pic:cNvPr descr="thesis/results_files/figure-docx/fig-sprout-ht-inc-year-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3"/>
        </w:tc>
      </w:tr>
    </w:tbl>
    <w:bookmarkEnd w:id="84"/>
    <w:bookmarkStart w:id="90"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It</w:t>
      </w:r>
      <w:r>
        <w:t xml:space="preserve"> </w:t>
      </w:r>
      <w:r>
        <w:t xml:space="preserve">also included a model for dispersion (log link) that had species, treatment, and</w:t>
      </w:r>
      <w:r>
        <w:t xml:space="preserve"> </w:t>
      </w:r>
      <w:r>
        <w:t xml:space="preserve">their interaction as predictors (</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5"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5"/>
        </w:tc>
      </w:tr>
    </w:tbl>
    <w:p>
      <w:pPr>
        <w:pStyle w:val="FirstParagraph"/>
      </w:pPr>
      <w:r>
        <w:t xml:space="preserve">Because the best model did not contain a species x treatment interaction,</w:t>
      </w:r>
      <w:r>
        <w:t xml:space="preserve"> </w:t>
      </w:r>
      <w:r>
        <w:t xml:space="preserve">comparisons between treatments is the same for both species. The GS treatment</w:t>
      </w:r>
      <w:r>
        <w:t xml:space="preserve"> </w:t>
      </w:r>
      <w:r>
        <w:t xml:space="preserve">resulted in greater heights in year 10 than the other treatments (0.001 &lt; p &lt;</w:t>
      </w:r>
      <w:r>
        <w:t xml:space="preserve"> </w:t>
      </w:r>
      <w:r>
        <w:t xml:space="preserve">0.04). Predicted mean height for redwood ranged from 10.29 m in the GS treatment</w:t>
      </w:r>
      <w:r>
        <w:t xml:space="preserve"> </w:t>
      </w:r>
      <w:r>
        <w:t xml:space="preserve">to 6.16 m in the HD treatment. For tanoak, predicted mean height ranged from</w:t>
      </w:r>
      <w:r>
        <w:t xml:space="preserve"> </w:t>
      </w:r>
      <w:r>
        <w:t xml:space="preserve">5.12 in the GS treatment to 3.04 in the HD treatment. Predicted mean heights</w:t>
      </w:r>
      <w:r>
        <w:t xml:space="preserve"> </w:t>
      </w:r>
      <w:r>
        <w:t xml:space="preserve">followed the pattern GS &gt; LD &gt; HA &gt; HD (</w:t>
      </w:r>
      <w:hyperlink w:anchor="fig-sprout-ht-yr-10">
        <w:r>
          <w:rPr>
            <w:rStyle w:val="Hyperlink"/>
          </w:rPr>
          <w:t xml:space="preserve">Figure 3.6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9" w:name="fig-sprout-ht-yr-10"/>
          <w:p>
            <w:pPr>
              <w:pStyle w:val="Compact"/>
              <w:jc w:val="center"/>
            </w:pPr>
            <w:r>
              <w:drawing>
                <wp:inline>
                  <wp:extent cx="4620126" cy="3696101"/>
                  <wp:effectExtent b="0" l="0" r="0" t="0"/>
                  <wp:docPr descr="" title="" id="87" name="Picture"/>
                  <a:graphic>
                    <a:graphicData uri="http://schemas.openxmlformats.org/drawingml/2006/picture">
                      <pic:pic>
                        <pic:nvPicPr>
                          <pic:cNvPr descr="thesis/results_files/figure-docx/fig-sprout-ht-yr-10-1.png" id="88"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89"/>
        </w:tc>
      </w:tr>
    </w:tbl>
    <w:bookmarkEnd w:id="90"/>
    <w:bookmarkEnd w:id="91"/>
    <w:bookmarkStart w:id="108" w:name="fuels-2"/>
    <w:p>
      <w:pPr>
        <w:pStyle w:val="Heading2"/>
      </w:pPr>
      <w:r>
        <w:t xml:space="preserve">3.3 Fuels</w:t>
      </w:r>
    </w:p>
    <w:bookmarkStart w:id="97"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
        <w:r>
          <w:rPr>
            <w:rStyle w:val="Hyperlink"/>
          </w:rPr>
          <w:t xml:space="preserve">Table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2" w:name="tbl-fuel-pre-pct"/>
          <w:p>
            <w:pPr>
              <w:jc w:val="center"/>
            </w:pPr>
            <w:pPr>
              <w:jc w:val="start"/>
              <w:spacing w:before="200"/>
              <w:pStyle w:val="ImageCaption"/>
            </w:pPr>
            <w:r>
              <w:t xml:space="preserve">Table 3.3: Model specifications for six fuel classes before pct.</w:t>
            </w:r>
          </w:p>
          <w:tbl>
            <w:tblPr>
              <w:tblStyle w:val="Table"/>
              <w:tblW w:type="pct" w:w="4835"/>
              <w:tblLook w:firstRow="1" w:lastRow="0" w:firstColumn="0" w:lastColumn="0" w:noHBand="0" w:noVBand="0" w:val="0020"/>
              <w:jc w:val="start"/>
              <w:tblLayout w:type="fixed"/>
            </w:tblPr>
            <w:tblGrid>
              <w:gridCol w:w="1047"/>
              <w:gridCol w:w="589"/>
              <w:gridCol w:w="458"/>
              <w:gridCol w:w="3207"/>
              <w:gridCol w:w="1243"/>
              <w:gridCol w:w="11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92"/>
          <w:p/>
        </w:tc>
      </w:tr>
    </w:tbl>
    <w:p>
      <w:pPr>
        <w:pStyle w:val="BodyText"/>
      </w:pPr>
      <w:r>
        <w:t xml:space="preserve">For Duff &amp; Litter, the largest difference was between the HD and HA treatments.</w:t>
      </w:r>
      <w:r>
        <w:t xml:space="preserve"> </w:t>
      </w:r>
      <w:r>
        <w:t xml:space="preserve">The HD treatment had about 1.4 times more duff and litter (p = 0.07). Generally,</w:t>
      </w:r>
      <w:r>
        <w:t xml:space="preserve"> </w:t>
      </w:r>
      <w:r>
        <w:t xml:space="preserve">all treatments were similar, with estimated loading of around 50 Mg ha-1.</w:t>
      </w:r>
      <w:r>
        <w:t xml:space="preserve"> </w:t>
      </w:r>
      <w:r>
        <w:t xml:space="preserve">One-hour fuels were around 50% higher in the HA treatment compared to the LD and</w:t>
      </w:r>
      <w:r>
        <w:t xml:space="preserve"> </w:t>
      </w:r>
      <w:r>
        <w:t xml:space="preserve">GS treatments (p = 0.07, and p = 0.01, respectively), with mean differences of</w:t>
      </w:r>
      <w:r>
        <w:t xml:space="preserve"> </w:t>
      </w:r>
      <w:r>
        <w:t xml:space="preserve">around 0.5 Mg ha-1. Ten, hundred and thousand-hour fuels were statistically,</w:t>
      </w:r>
      <w:r>
        <w:t xml:space="preserve"> </w:t>
      </w:r>
      <w:r>
        <w:t xml:space="preserve">very similar across treatments (p = 0.7 — p = 1). Point estimates varied by</w:t>
      </w:r>
      <w:r>
        <w:t xml:space="preserve"> </w:t>
      </w:r>
      <w:r>
        <w:t xml:space="preserve">about 1, 3, and &lt;20 Mg ha-1 for ten, hundred, and thousand-hour fuels,</w:t>
      </w:r>
      <w:r>
        <w:t xml:space="preserve"> </w:t>
      </w:r>
      <w:r>
        <w:t xml:space="preserve">respectively. Vegetative fuel loading was greatest in the GS treatment, with an</w:t>
      </w:r>
      <w:r>
        <w:t xml:space="preserve"> </w:t>
      </w:r>
      <w:r>
        <w:t xml:space="preserve">expected value of 28.5 Mg ha-1, which was about 2.7 times greater than in HA (p</w:t>
      </w:r>
      <w:r>
        <w:t xml:space="preserve"> </w:t>
      </w:r>
      <w:r>
        <w:t xml:space="preserve">= 0.01) (</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fig-fuel-pre-pct"/>
          <w:p>
            <w:pPr>
              <w:pStyle w:val="Compact"/>
              <w:jc w:val="center"/>
            </w:pPr>
            <w:r>
              <w:drawing>
                <wp:inline>
                  <wp:extent cx="5334000" cy="2667000"/>
                  <wp:effectExtent b="0" l="0" r="0" t="0"/>
                  <wp:docPr descr="" title="" id="94" name="Picture"/>
                  <a:graphic>
                    <a:graphicData uri="http://schemas.openxmlformats.org/drawingml/2006/picture">
                      <pic:pic>
                        <pic:nvPicPr>
                          <pic:cNvPr descr="thesis/results_files/figure-docx/fig-fuel-pre-pct-1.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6"/>
        </w:tc>
      </w:tr>
    </w:tbl>
    <w:p>
      <w:pPr>
        <w:pStyle w:val="BodyText"/>
      </w:pPr>
      <w:r>
        <w:t xml:space="preserve">Here are the grand means, pre-PCT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bookmarkEnd w:id="97"/>
    <w:bookmarkStart w:id="107"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this model included</w:t>
      </w:r>
      <w:r>
        <w:t xml:space="preserve"> </w:t>
      </w:r>
      <w:r>
        <w:t xml:space="preserve">treatment and site as predictors, and for the rest, a constant rate for all</w:t>
      </w:r>
      <w:r>
        <w:t xml:space="preserve"> </w:t>
      </w:r>
      <w:r>
        <w:t xml:space="preserve">observations was used (</w:t>
      </w:r>
      <w:hyperlink w:anchor="tbl-fuel-post-pct">
        <w:r>
          <w:rPr>
            <w:rStyle w:val="Hyperlink"/>
          </w:rPr>
          <w:t xml:space="preserve">Table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tbl-fuel-post-pct"/>
          <w:p>
            <w:pPr>
              <w:jc w:val="center"/>
            </w:pPr>
            <w:pPr>
              <w:jc w:val="start"/>
              <w:spacing w:before="200"/>
              <w:pStyle w:val="ImageCaption"/>
            </w:pPr>
            <w:r>
              <w:t xml:space="preserve">Table 3.4: Model specifications for six fuel classes after pct.</w:t>
            </w:r>
          </w:p>
          <w:tbl>
            <w:tblPr>
              <w:tblStyle w:val="Table"/>
              <w:tblW w:type="pct" w:w="4848"/>
              <w:tblLook w:firstRow="1" w:lastRow="0" w:firstColumn="0" w:lastColumn="0" w:noHBand="0" w:noVBand="0" w:val="0020"/>
              <w:jc w:val="start"/>
              <w:tblLayout w:type="fixed"/>
            </w:tblPr>
            <w:tblGrid>
              <w:gridCol w:w="1440"/>
              <w:gridCol w:w="540"/>
              <w:gridCol w:w="420"/>
              <w:gridCol w:w="2940"/>
              <w:gridCol w:w="1140"/>
              <w:gridCol w:w="1200"/>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98"/>
          <w:p/>
        </w:tc>
      </w:tr>
    </w:tbl>
    <w:p>
      <w:pPr>
        <w:pStyle w:val="BodyText"/>
      </w:pPr>
      <w:r>
        <w:t xml:space="preserve">Post-pct resulted in greater stratification of treatments (</w:t>
      </w:r>
      <w:hyperlink w:anchor="fig-fuel-post-pct">
        <w:r>
          <w:rPr>
            <w:rStyle w:val="Hyperlink"/>
          </w:rPr>
          <w:t xml:space="preserve">Figure 3.8</w:t>
        </w:r>
      </w:hyperlink>
      <w:r>
        <w:t xml:space="preserve">).</w:t>
      </w:r>
      <w:r>
        <w:t xml:space="preserve"> </w:t>
      </w:r>
      <w:r>
        <w:t xml:space="preserve">One-hour fuels for most treatments were around 2.4 Mg ha</w:t>
      </w:r>
      <w:r>
        <w:rPr>
          <w:vertAlign w:val="superscript"/>
        </w:rPr>
        <w:t xml:space="preserve">-1</w:t>
      </w:r>
      <w:r>
        <w:t xml:space="preserve">, but the HA</w:t>
      </w:r>
      <w:r>
        <w:t xml:space="preserve"> </w:t>
      </w:r>
      <w:r>
        <w:t xml:space="preserve">treatment had around half of that amount (p = 0.01 to p = 0.02). The GS</w:t>
      </w:r>
      <w:r>
        <w:t xml:space="preserve"> </w:t>
      </w:r>
      <w:r>
        <w:t xml:space="preserve">treatment had the greatest 10-hr fuel loading with 8.8 Mg ha</w:t>
      </w:r>
      <w:r>
        <w:rPr>
          <w:vertAlign w:val="superscript"/>
        </w:rPr>
        <w:t xml:space="preserve">-1</w:t>
      </w:r>
      <w:r>
        <w:t xml:space="preserve">, which was</w:t>
      </w:r>
      <w:r>
        <w:t xml:space="preserve"> </w:t>
      </w:r>
      <w:r>
        <w:t xml:space="preserve">about 1.6, 2.3 and 2.9 times greater than the LD, HA, and HD treatments</w:t>
      </w:r>
      <w:r>
        <w:t xml:space="preserve"> </w:t>
      </w:r>
      <w:r>
        <w:t xml:space="preserve">respectively (p = 0.03, p &lt; 0.001, for the others, respectively). The LD</w:t>
      </w:r>
      <w:r>
        <w:t xml:space="preserve"> </w:t>
      </w:r>
      <w:r>
        <w:t xml:space="preserve">treatment also had about 1.7 times more 10-hr fuels that the HD treatment (5.4</w:t>
      </w:r>
      <w:r>
        <w:t xml:space="preserve"> </w:t>
      </w:r>
      <w:r>
        <w:t xml:space="preserve">vs. 3 Mg ha</w:t>
      </w:r>
      <w:r>
        <w:rPr>
          <w:vertAlign w:val="superscript"/>
        </w:rPr>
        <w:t xml:space="preserve">-1</w:t>
      </w:r>
      <w:r>
        <w:t xml:space="preserve">, p = 0.001). Hundred-hour fuels were also greatest in the GS</w:t>
      </w:r>
      <w:r>
        <w:t xml:space="preserve"> </w:t>
      </w:r>
      <w:r>
        <w:t xml:space="preserve">treatment, with an average of about 19 Mg ha</w:t>
      </w:r>
      <w:r>
        <w:rPr>
          <w:vertAlign w:val="superscript"/>
        </w:rPr>
        <w:t xml:space="preserve">-1</w:t>
      </w:r>
      <w:r>
        <w:t xml:space="preserve">, which was about 2.6 times</w:t>
      </w:r>
      <w:r>
        <w:t xml:space="preserve"> </w:t>
      </w:r>
      <w:r>
        <w:t xml:space="preserve">greater than in the HD treatment (7 Mg ha</w:t>
      </w:r>
      <w:r>
        <w:rPr>
          <w:vertAlign w:val="superscript"/>
        </w:rPr>
        <w:t xml:space="preserve">-1</w:t>
      </w:r>
      <w:r>
        <w:t xml:space="preserve">, p &lt; 0.001). Thousand-hour fuels</w:t>
      </w:r>
      <w:r>
        <w:t xml:space="preserve"> </w:t>
      </w:r>
      <w:r>
        <w:t xml:space="preserve">were greatest in the HD treatment, with 80 Mg ha</w:t>
      </w:r>
      <w:r>
        <w:rPr>
          <w:vertAlign w:val="superscript"/>
        </w:rPr>
        <w:t xml:space="preserve">-1</w:t>
      </w:r>
      <w:r>
        <w:t xml:space="preserve">, which was about 2.7 times</w:t>
      </w:r>
      <w:r>
        <w:t xml:space="preserve"> </w:t>
      </w:r>
      <w:r>
        <w:t xml:space="preserve">greater than the LD and HD treatments (p = 0.03 and p = 0.05, respectively).</w:t>
      </w:r>
      <w:r>
        <w:t xml:space="preserve"> </w:t>
      </w:r>
      <w:r>
        <w:t xml:space="preserve">Fuel loading for live vegetation was similar across treatments at around 2.5 Mg</w:t>
      </w:r>
      <w:r>
        <w:t xml:space="preserve"> </w:t>
      </w:r>
      <w:r>
        <w:t xml:space="preserve">ha</w:t>
      </w:r>
      <w:r>
        <w:rPr>
          <w:vertAlign w:val="superscript"/>
        </w:rPr>
        <w:t xml:space="preserve">-1</w:t>
      </w:r>
      <w:r>
        <w:t xml:space="preserve">. The pre-post vegetation difference was greatest in the GS treatment at</w:t>
      </w:r>
      <w:r>
        <w:t xml:space="preserve"> </w:t>
      </w:r>
      <w:r>
        <w:t xml:space="preserve">about 31 Mg ha</w:t>
      </w:r>
      <w:r>
        <w:rPr>
          <w:vertAlign w:val="superscript"/>
        </w:rPr>
        <w:t xml:space="preserve">-1</w:t>
      </w:r>
      <w:r>
        <w:t xml:space="preserve">, which was 2.5 and 2.8 times the HD and HA treatments,</w:t>
      </w:r>
      <w:r>
        <w:t xml:space="preserve"> </w:t>
      </w:r>
      <w:r>
        <w:t xml:space="preserve">respectively (p ≈ 0.01).</w:t>
      </w:r>
    </w:p>
    <w:tbl>
      <w:tblPr>
        <w:tblStyle w:val="Table"/>
        <w:tblW w:type="pct" w:w="5000"/>
        <w:tblLook w:firstRow="0" w:lastRow="0" w:firstColumn="0" w:lastColumn="0" w:noHBand="0" w:noVBand="0" w:val="0000"/>
        <w:jc w:val="start"/>
        <w:tblLayout w:type="fixed"/>
      </w:tblPr>
      <w:tblGrid>
        <w:gridCol w:w="7920"/>
      </w:tblGrid>
      <w:tr>
        <w:tc>
          <w:tcPr/>
          <w:bookmarkStart w:id="102" w:name="fig-fuel-post-pct"/>
          <w:p>
            <w:pPr>
              <w:pStyle w:val="Compact"/>
              <w:jc w:val="center"/>
            </w:pPr>
            <w:r>
              <w:drawing>
                <wp:inline>
                  <wp:extent cx="5334000" cy="2667000"/>
                  <wp:effectExtent b="0" l="0" r="0" t="0"/>
                  <wp:docPr descr="" title="" id="100" name="Picture"/>
                  <a:graphic>
                    <a:graphicData uri="http://schemas.openxmlformats.org/drawingml/2006/picture">
                      <pic:pic>
                        <pic:nvPicPr>
                          <pic:cNvPr descr="thesis/results_files/figure-docx/fig-fuel-post-pct-1.png" id="101"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comparisons (blue arrows) of fuel loading across four treatments for six different fuel-class models. Non-overlapping red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2"/>
        </w:tc>
      </w:tr>
    </w:tbl>
    <w:p>
      <w:pPr>
        <w:pStyle w:val="BodyText"/>
      </w:pPr>
      <w:r>
        <w:t xml:space="preserve">Here are the grand means post-PCT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p>
      <w:pPr>
        <w:pStyle w:val="BodyText"/>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106" w:name="fig-fuel-pct-comparison"/>
          <w:p>
            <w:pPr>
              <w:pStyle w:val="Compact"/>
              <w:jc w:val="center"/>
            </w:pPr>
            <w:r>
              <w:drawing>
                <wp:inline>
                  <wp:extent cx="5334000" cy="2667000"/>
                  <wp:effectExtent b="0" l="0" r="0" t="0"/>
                  <wp:docPr descr="" title="" id="104" name="Picture"/>
                  <a:graphic>
                    <a:graphicData uri="http://schemas.openxmlformats.org/drawingml/2006/picture">
                      <pic:pic>
                        <pic:nvPicPr>
                          <pic:cNvPr descr="thesis/results_files/figure-docx/fig-fuel-pct-comparison-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06"/>
        </w:tc>
      </w:tr>
    </w:tbl>
    <w:bookmarkEnd w:id="107"/>
    <w:bookmarkEnd w:id="108"/>
    <w:bookmarkEnd w:id="109"/>
    <w:bookmarkStart w:id="123" w:name="discussion"/>
    <w:p>
      <w:pPr>
        <w:pStyle w:val="Heading1"/>
      </w:pPr>
      <w:r>
        <w:t xml:space="preserve">4. Discussion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0" name="Picture"/>
                  <a:graphic>
                    <a:graphicData uri="http://schemas.openxmlformats.org/drawingml/2006/picture">
                      <pic:pic>
                        <pic:nvPicPr>
                          <pic:cNvPr descr="C:\Users\walki\AppData\Local\Programs\Quarto\share\formats\docx\caution.png" id="11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numPr>
                <w:ilvl w:val="0"/>
                <w:numId w:val="1002"/>
              </w:numPr>
            </w:pPr>
            <w:r>
              <w:t xml:space="preserve">Aspect is an important predictor that was not explicitly accounted for in our</w:t>
            </w:r>
            <w:r>
              <w:t xml:space="preserve"> </w:t>
            </w:r>
            <w:r>
              <w:t xml:space="preserve">model, and may have led to inflated uncertainty</w:t>
            </w:r>
          </w:p>
          <w:p>
            <w:pPr>
              <w:numPr>
                <w:ilvl w:val="0"/>
                <w:numId w:val="1002"/>
              </w:numPr>
            </w:pPr>
            <w:r>
              <w:t xml:space="preserve">GS and LD treatments were generally much harder to navigate in the field.</w:t>
            </w:r>
          </w:p>
          <w:p>
            <w:pPr>
              <w:numPr>
                <w:ilvl w:val="0"/>
                <w:numId w:val="1002"/>
              </w:numPr>
            </w:pPr>
            <w:r>
              <w:t xml:space="preserve">Cost of treatments</w:t>
            </w:r>
          </w:p>
          <w:p>
            <w:pPr>
              <w:numPr>
                <w:ilvl w:val="0"/>
                <w:numId w:val="1002"/>
              </w:numPr>
            </w:pPr>
            <w:r>
              <w:t xml:space="preserve">1-hr redwood fuels differed from other studies in that we implemented a cutoff</w:t>
            </w:r>
          </w:p>
          <w:p>
            <w:pPr>
              <w:numPr>
                <w:ilvl w:val="0"/>
                <w:numId w:val="1002"/>
              </w:numPr>
            </w:pPr>
            <w:r>
              <w:t xml:space="preserve">Discuss the decision to allow surface fuels to extend to greater than 2 meters</w:t>
            </w:r>
          </w:p>
          <w:p>
            <w:pPr>
              <w:numPr>
                <w:ilvl w:val="0"/>
                <w:numId w:val="1002"/>
              </w:numPr>
            </w:pPr>
            <w:r>
              <w:t xml:space="preserve">similar bulk densities for duff and litter: Stuart. Also, Finney combined the</w:t>
            </w:r>
            <w:r>
              <w:t xml:space="preserve"> </w:t>
            </w:r>
            <w:r>
              <w:t xml:space="preserve">two.</w:t>
            </w:r>
          </w:p>
          <w:p>
            <w:pPr>
              <w:numPr>
                <w:ilvl w:val="0"/>
                <w:numId w:val="1002"/>
              </w:numPr>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describing a range of tanoak sprout</w:t>
            </w:r>
            <w:r>
              <w:t xml:space="preserve"> </w:t>
            </w:r>
            <w:r>
              <w:t xml:space="preserve">development responses with varying overstory density.</w:t>
            </w:r>
          </w:p>
        </w:tc>
      </w:tr>
    </w:tbl>
    <w:bookmarkStart w:id="116" w:name="composition-1"/>
    <w:p>
      <w:pPr>
        <w:pStyle w:val="Heading2"/>
      </w:pPr>
      <w:r>
        <w:t xml:space="preserve">4.1 Composition</w:t>
      </w:r>
    </w:p>
    <w:bookmarkStart w:id="112"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The only statistically detectable difference occurred</w:t>
      </w:r>
      <w:r>
        <w:t xml:space="preserve"> </w:t>
      </w:r>
      <w:r>
        <w:t xml:space="preserve">between the LD and HA treatment where the latter had less basal area of minor</w:t>
      </w:r>
      <w:r>
        <w:t xml:space="preserve"> </w:t>
      </w:r>
      <w:r>
        <w:t xml:space="preserve">species. While this could be due to low numbers overall numbers of occurrences of</w:t>
      </w:r>
      <w:r>
        <w:t xml:space="preserve"> </w:t>
      </w:r>
      <w:r>
        <w:t xml:space="preserve">minor species and high variability within treatments, this phenomena is</w:t>
      </w:r>
      <w:r>
        <w:t xml:space="preserve"> </w:t>
      </w:r>
      <w:r>
        <w:t xml:space="preserve">corroborated by the low vegetation response found in the HA treatment for the</w:t>
      </w:r>
      <w:r>
        <w:t xml:space="preserve"> </w:t>
      </w:r>
      <w:r>
        <w:t xml:space="preserve">separately gathered fuels data (</w:t>
      </w:r>
      <w:hyperlink w:anchor="fig-fuel-pre-pct">
        <w:r>
          <w:rPr>
            <w:rStyle w:val="Hyperlink"/>
          </w:rPr>
          <w:t xml:space="preserve">Figure 3.7</w:t>
        </w:r>
      </w:hyperlink>
      <w:r>
        <w:t xml:space="preserve">), as well as for tanoak sprout</w:t>
      </w:r>
      <w:r>
        <w:t xml:space="preserve"> </w:t>
      </w:r>
      <w:r>
        <w:t xml:space="preserve">basal area where the only statistically supported evidence of treatment</w:t>
      </w:r>
      <w:r>
        <w:t xml:space="preserve"> </w:t>
      </w:r>
      <w:r>
        <w:t xml:space="preserve">difference was between the GS and HA treatments. Potential differences in minor</w:t>
      </w:r>
      <w:r>
        <w:t xml:space="preserve"> </w:t>
      </w:r>
      <w:r>
        <w:t xml:space="preserve">species abundance is likely only relevant for grand fir, due to its shade</w:t>
      </w:r>
      <w:r>
        <w:t xml:space="preserve"> </w:t>
      </w:r>
      <w:r>
        <w:t xml:space="preserve">tolerance</w:t>
      </w:r>
      <w:r>
        <w:t xml:space="preserve"> </w:t>
      </w:r>
      <w:r>
        <w:t xml:space="preserve">(Webb et al., 2012)</w:t>
      </w:r>
      <w:r>
        <w:t xml:space="preserve">. Red alder and wester hemlock were</w:t>
      </w:r>
      <w:r>
        <w:t xml:space="preserve"> </w:t>
      </w:r>
      <w:r>
        <w:t xml:space="preserve">observed earlier in this experiment, but were not detected with our current</w:t>
      </w:r>
      <w:r>
        <w:t xml:space="preserve"> </w:t>
      </w:r>
      <w:r>
        <w:t xml:space="preserve">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12"/>
    <w:bookmarkStart w:id="115" w:name="redwood-and-tanoak"/>
    <w:p>
      <w:pPr>
        <w:pStyle w:val="Heading3"/>
      </w:pPr>
      <w:r>
        <w:t xml:space="preserve">4.1.2 Redwood and tanoak</w:t>
      </w:r>
    </w:p>
    <w:p>
      <w:pPr>
        <w:pStyle w:val="FirstParagraph"/>
      </w:pPr>
      <w:r>
        <w:t xml:space="preserve">We found redwood growth in terms of average total basal area of sprouts 10 years</w:t>
      </w:r>
      <w:r>
        <w:t xml:space="preserve"> </w:t>
      </w:r>
      <w:r>
        <w:t xml:space="preserve">after harvest treatment, responded strongly and positively to</w:t>
      </w:r>
      <w:r>
        <w:t xml:space="preserve"> </w:t>
      </w:r>
      <w:r>
        <w:t xml:space="preserve">increasing levels of openness and the tanoak response was comparatively modest.</w:t>
      </w:r>
      <w:r>
        <w:t xml:space="preserve"> </w:t>
      </w:r>
      <w:r>
        <w:t xml:space="preserve">This is expected based on traditional shade tolerance theory</w:t>
      </w:r>
      <w:r>
        <w:t xml:space="preserve"> </w:t>
      </w:r>
      <w:r>
        <w:t xml:space="preserve">(Horn, 1971)</w:t>
      </w:r>
      <w:r>
        <w:t xml:space="preserve"> </w:t>
      </w:r>
      <w:r>
        <w:t xml:space="preserve">and what is commonly understood of these two</w:t>
      </w:r>
      <w:r>
        <w:t xml:space="preserve"> </w:t>
      </w:r>
      <w:r>
        <w:t xml:space="preserve">species (CITATIONS).</w:t>
      </w:r>
    </w:p>
    <w:p>
      <w:pPr>
        <w:pStyle w:val="BodyText"/>
      </w:pPr>
      <w:r>
        <w:t xml:space="preserve">The only statistically justified difference for tanoak was between the GS and HA</w:t>
      </w:r>
      <w:r>
        <w:t xml:space="preserve"> </w:t>
      </w:r>
      <w:r>
        <w:t xml:space="preserve">treatments. That we found slightly higher tanoak basal area in the HD treatment</w:t>
      </w:r>
      <w:r>
        <w:t xml:space="preserve"> </w:t>
      </w:r>
      <w:r>
        <w:t xml:space="preserve">compared to the HA may be confounded by the fact that this treatment resulted in</w:t>
      </w:r>
      <w:r>
        <w:t xml:space="preserve"> </w:t>
      </w:r>
      <w:r>
        <w:t xml:space="preserve">a greater number of tanaok stems less than 2.54 cm dbh (383 in HA vs 496 in HD,</w:t>
      </w:r>
      <w:r>
        <w:t xml:space="preserve"> </w:t>
      </w:r>
      <w:r>
        <w:t xml:space="preserve">data not shown) and that this size class was assigned the perhaps inappropriate</w:t>
      </w:r>
      <w:r>
        <w:t xml:space="preserve"> </w:t>
      </w:r>
      <w:r>
        <w:t xml:space="preserve">midpoint diameter of 1.27 cm. Thus, the basal area of these bushier tanaok in</w:t>
      </w:r>
      <w:r>
        <w:t xml:space="preserve"> </w:t>
      </w:r>
      <w:r>
        <w:t xml:space="preserve">the HD treatment may be slightly artificially elevated. On the other hand, the</w:t>
      </w:r>
      <w:r>
        <w:t xml:space="preserve"> </w:t>
      </w:r>
      <w:r>
        <w:t xml:space="preserve">small difference between the HA and HD treatments was mirrored in the vegetation</w:t>
      </w:r>
      <w:r>
        <w:t xml:space="preserve"> </w:t>
      </w:r>
      <w:r>
        <w:t xml:space="preserve">fuel loading data which was collected separately, adding support to the idea</w:t>
      </w:r>
      <w:r>
        <w:t xml:space="preserve"> </w:t>
      </w:r>
      <w:r>
        <w:t xml:space="preserve">that the HA treatment did in some way minimize tanoak sprout growth. It could be</w:t>
      </w:r>
      <w:r>
        <w:t xml:space="preserve"> </w:t>
      </w:r>
      <w:r>
        <w:t xml:space="preserve">that the lower light conditions in the HA and HD treatments approach a crossover</w:t>
      </w:r>
      <w:r>
        <w:t xml:space="preserve"> </w:t>
      </w:r>
      <w:r>
        <w:t xml:space="preserve">point where greater overstory densities would result in more growth for the</w:t>
      </w:r>
      <w:r>
        <w:t xml:space="preserve"> </w:t>
      </w:r>
      <w:r>
        <w:t xml:space="preserve">shade tolerant tanoak compared to the less shade-tolerant redwood. It is</w:t>
      </w:r>
      <w:r>
        <w:t xml:space="preserve"> </w:t>
      </w:r>
      <w:r>
        <w:t xml:space="preserve">important to remember that the HA and HD</w:t>
      </w:r>
      <w:r>
        <w:t xml:space="preserve"> </w:t>
      </w:r>
      <w:r>
        <w:t xml:space="preserve">“</w:t>
      </w:r>
      <w:r>
        <w:t xml:space="preserve">high-density</w:t>
      </w:r>
      <w:r>
        <w:t xml:space="preserve">”</w:t>
      </w:r>
      <w:r>
        <w:t xml:space="preserve"> </w:t>
      </w:r>
      <w:r>
        <w:t xml:space="preserve">treatments only targeted</w:t>
      </w:r>
      <w:r>
        <w:t xml:space="preserve"> </w:t>
      </w:r>
      <w:r>
        <w:t xml:space="preserve">a residual overstory relative density of 20% (that is 20% of assumed total</w:t>
      </w:r>
      <w:r>
        <w:t xml:space="preserve"> </w:t>
      </w:r>
      <w:r>
        <w:t xml:space="preserve">carrying capacity of the site), and it was selected as an upper limit given the</w:t>
      </w:r>
      <w:r>
        <w:t xml:space="preserve"> </w:t>
      </w:r>
      <w:r>
        <w:t xml:space="preserve">objective to maintain conifer growth. It seems likely that at higher overstory</w:t>
      </w:r>
      <w:r>
        <w:t xml:space="preserve"> </w:t>
      </w:r>
      <w:r>
        <w:t xml:space="preserve">densities we might see tanoak growth, in terms of total basal area, exceed that</w:t>
      </w:r>
      <w:r>
        <w:t xml:space="preserve"> </w:t>
      </w:r>
      <w:r>
        <w:t xml:space="preserve">of redwood. As mentioned previously, our use of basal area as a response did not</w:t>
      </w:r>
      <w:r>
        <w:t xml:space="preserve"> </w:t>
      </w:r>
      <w:r>
        <w:t xml:space="preserve">distinguish between number of stems and size of stems. There have been numerous</w:t>
      </w:r>
      <w:r>
        <w:t xml:space="preserve"> </w:t>
      </w:r>
      <w:r>
        <w:t xml:space="preserve">metrics used to attempt to assess shade tolerance</w:t>
      </w:r>
      <w:r>
        <w:t xml:space="preserve"> </w:t>
      </w:r>
      <w:r>
        <w:t xml:space="preserve">(Forrester et al., 2014)</w:t>
      </w:r>
      <w:r>
        <w:t xml:space="preserve">, our use of basal area (which conflates</w:t>
      </w:r>
      <w:r>
        <w:t xml:space="preserve"> </w:t>
      </w:r>
      <w:r>
        <w:t xml:space="preserve">growth and survival of sprouts) is justified given the assumption that these are</w:t>
      </w:r>
      <w:r>
        <w:t xml:space="preserve"> </w:t>
      </w:r>
      <w:r>
        <w:t xml:space="preserve">expected to be correlated in forests that don’t undergo a long harsh winter</w:t>
      </w:r>
      <w:r>
        <w:t xml:space="preserve"> </w:t>
      </w:r>
      <w:r>
        <w:t xml:space="preserve">(Lin et al., 2002)</w:t>
      </w:r>
      <w:r>
        <w:t xml:space="preserve">. In general, for tanoak we expect to see a</w:t>
      </w:r>
      <w:r>
        <w:t xml:space="preserve"> </w:t>
      </w:r>
      <w:r>
        <w:t xml:space="preserve">reduction of about one half moving from open overstory conditions to 20%</w:t>
      </w:r>
      <w:r>
        <w:t xml:space="preserve"> </w:t>
      </w:r>
      <w:r>
        <w:t xml:space="preserve">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except between GS and</w:t>
      </w:r>
      <w:r>
        <w:t xml:space="preserve"> </w:t>
      </w:r>
      <w:r>
        <w:t xml:space="preserve">high density treatments were very high. 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It could also be that this</w:t>
      </w:r>
      <w:r>
        <w:t xml:space="preserve"> </w:t>
      </w:r>
      <w:r>
        <w:t xml:space="preserve">uncertainty is due to variable light levels within macro plots.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3" name="Picture"/>
                  <a:graphic>
                    <a:graphicData uri="http://schemas.openxmlformats.org/drawingml/2006/picture">
                      <pic:pic>
                        <pic:nvPicPr>
                          <pic:cNvPr descr="C:\Users\walki\AppData\Local\Programs\Quarto\share\formats\docx\caution.png" id="11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What about the potential effects of soil type</w:t>
            </w:r>
            <w:r>
              <w:t xml:space="preserve"> </w:t>
            </w:r>
            <w:r>
              <w:t xml:space="preserve">What about the potential effects of below-ground competition</w:t>
            </w:r>
            <w:r>
              <w:t xml:space="preserve"> </w:t>
            </w:r>
            <w:r>
              <w:t xml:space="preserve">what would tanoak abundance be if they were not competing with redwood?</w:t>
            </w:r>
          </w:p>
        </w:tc>
      </w:tr>
    </w:tbl>
    <w:bookmarkEnd w:id="115"/>
    <w:bookmarkEnd w:id="116"/>
    <w:bookmarkStart w:id="117" w:name="sprout-height"/>
    <w:p>
      <w:pPr>
        <w:pStyle w:val="Heading2"/>
      </w:pPr>
      <w:r>
        <w:t xml:space="preserve">4.2 Sprout height</w:t>
      </w:r>
    </w:p>
    <w:bookmarkEnd w:id="117"/>
    <w:bookmarkStart w:id="122" w:name="fuel-loading"/>
    <w:p>
      <w:pPr>
        <w:pStyle w:val="Heading2"/>
      </w:pPr>
      <w:r>
        <w:t xml:space="preserve">4.3 Fuel loading</w:t>
      </w:r>
    </w:p>
    <w:bookmarkStart w:id="120"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Although this difference was not</w:t>
      </w:r>
      <w:r>
        <w:t xml:space="preserve"> </w:t>
      </w:r>
      <w:r>
        <w:t xml:space="preserve">statistically supported, it was paralleled by a similar trend in vegetation fuel</w:t>
      </w:r>
      <w:r>
        <w:t xml:space="preserve"> </w:t>
      </w:r>
      <w:r>
        <w:t xml:space="preserve">loading as well as in tanoak basal area (</w:t>
      </w:r>
      <w:hyperlink w:anchor="fig-regen-ba">
        <w:r>
          <w:rPr>
            <w:rStyle w:val="Hyperlink"/>
          </w:rPr>
          <w:t xml:space="preserve">Figure 3.1</w:t>
        </w:r>
      </w:hyperlink>
      <w:r>
        <w:t xml:space="preserve">). In a study across</w:t>
      </w:r>
      <w:r>
        <w:t xml:space="preserve"> </w:t>
      </w:r>
      <w:r>
        <w:t xml:space="preserve">Sierra forests, fine fuel loading (including 1-, 10-, and 100-hr fuels) were</w:t>
      </w:r>
      <w:r>
        <w:t xml:space="preserve"> </w:t>
      </w:r>
      <w:r>
        <w:t xml:space="preserve">found to be correlated with overstory canopy cover and proportion of shade</w:t>
      </w:r>
      <w:r>
        <w:t xml:space="preserve"> </w:t>
      </w:r>
      <w:r>
        <w:t xml:space="preserve">tolerant species and associated these conditions, which represent recent shifts</w:t>
      </w:r>
      <w:r>
        <w:t xml:space="preserve"> </w:t>
      </w:r>
      <w:r>
        <w:t xml:space="preserve">in forest composition resulting from fire suppression, with an elevated risk</w:t>
      </w:r>
      <w:r>
        <w:t xml:space="preserve"> </w:t>
      </w:r>
      <w:r>
        <w:t xml:space="preserve">of high severity fire</w:t>
      </w:r>
      <w:r>
        <w:t xml:space="preserve"> </w:t>
      </w:r>
      <w:r>
        <w:t xml:space="preserve">(Collins et al., 2016)</w:t>
      </w:r>
      <w:r>
        <w:t xml:space="preserve">. The</w:t>
      </w:r>
      <w:r>
        <w:t xml:space="preserve"> </w:t>
      </w:r>
      <w:r>
        <w:t xml:space="preserve">differences we observed in duff &amp; litter, and 1-hr fuel loads could be a result</w:t>
      </w:r>
      <w:r>
        <w:t xml:space="preserve"> </w:t>
      </w:r>
      <w:r>
        <w:t xml:space="preserve">of canopy cover and understory species composition directly, but it is likely</w:t>
      </w:r>
      <w:r>
        <w:t xml:space="preserve"> </w:t>
      </w:r>
      <w:r>
        <w:t xml:space="preserve">also a result of the microclimatic differences resulting from these different</w:t>
      </w:r>
      <w:r>
        <w:t xml:space="preserve"> </w:t>
      </w:r>
      <w:r>
        <w:t xml:space="preserve">stand structures. Fine fuel loads are a function of both recruitment and</w:t>
      </w:r>
      <w:r>
        <w:t xml:space="preserve"> </w:t>
      </w:r>
      <w:r>
        <w:t xml:space="preserve">decomposition and the latter is a function of moisture and temperature</w:t>
      </w:r>
      <w:r>
        <w:t xml:space="preserve"> </w:t>
      </w:r>
      <w:r>
        <w:t xml:space="preserve">(CITATIONS). Forest floor conditions in the HA treatment may have been somewhat</w:t>
      </w:r>
      <w:r>
        <w:t xml:space="preserve"> </w:t>
      </w:r>
      <w:r>
        <w:t xml:space="preserve">more moist than the more open treatments (due to sheltering), but warmer than</w:t>
      </w:r>
      <w:r>
        <w:t xml:space="preserve"> </w:t>
      </w:r>
      <w:r>
        <w:t xml:space="preserve">the HD treatment (due to greater light infiltration). While the differences in</w:t>
      </w:r>
      <w:r>
        <w:t xml:space="preserve"> </w:t>
      </w:r>
      <w:r>
        <w:t xml:space="preserve">duff &amp; litter loading we observed are not likely to have a significant impact on</w:t>
      </w:r>
      <w:r>
        <w:t xml:space="preserve"> </w:t>
      </w:r>
      <w:r>
        <w:t xml:space="preserve">fire behavior, small differences in forest floor moisture can have significant</w:t>
      </w:r>
      <w:r>
        <w:t xml:space="preserve"> </w:t>
      </w:r>
      <w:r>
        <w:t xml:space="preserve">implications for prescribed burning operations because these are often conducted</w:t>
      </w:r>
      <w:r>
        <w:t xml:space="preserve"> </w:t>
      </w:r>
      <w:r>
        <w:t xml:space="preserve">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8" name="Picture"/>
                  <a:graphic>
                    <a:graphicData uri="http://schemas.openxmlformats.org/drawingml/2006/picture">
                      <pic:pic>
                        <pic:nvPicPr>
                          <pic:cNvPr descr="C:\Users\walki\AppData\Local\Programs\Quarto\share\formats\docx\caution.png" id="119"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compare to live fuel loading in Stuart 1985</w:t>
            </w:r>
          </w:p>
        </w:tc>
      </w:tr>
    </w:tbl>
    <w:p>
      <w:pPr>
        <w:pStyle w:val="BodyText"/>
      </w:pPr>
      <w:r>
        <w:t xml:space="preserve">Vegetation fuel loading was lowest in the HA treatment, and the only statistical</w:t>
      </w:r>
      <w:r>
        <w:t xml:space="preserve"> </w:t>
      </w:r>
      <w:r>
        <w:t xml:space="preserve">difference was between the GS and HA treatments. This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suggesting high flammability</w:t>
      </w:r>
      <w:r>
        <w:t xml:space="preserve"> </w:t>
      </w:r>
      <w:r>
        <w:t xml:space="preserve">(Fryer, 2008; McDonald, 1981)</w:t>
      </w:r>
      <w:r>
        <w:t xml:space="preserve">.</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w:t>
      </w:r>
    </w:p>
    <w:p>
      <w:pPr>
        <w:numPr>
          <w:ilvl w:val="0"/>
          <w:numId w:val="1003"/>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0"/>
          <w:numId w:val="1003"/>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0"/>
          <w:numId w:val="1003"/>
        </w:numPr>
        <w:pStyle w:val="Compact"/>
      </w:pPr>
      <w:r>
        <w:t xml:space="preserve">sclerophyllous fuels found in chaparral ecosystems are often characterized by</w:t>
      </w:r>
      <w:r>
        <w:t xml:space="preserve"> </w:t>
      </w:r>
      <w:r>
        <w:t xml:space="preserve">intense, stand replacing fires</w:t>
      </w:r>
    </w:p>
    <w:p>
      <w:pPr>
        <w:numPr>
          <w:ilvl w:val="0"/>
          <w:numId w:val="1003"/>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It was somewhat surprising that the modeled vegetation fuel loading</w:t>
      </w:r>
      <w:r>
        <w:t xml:space="preserve"> </w:t>
      </w:r>
      <w:r>
        <w:t xml:space="preserve">differences were not more clearly differentiated because our field crew’s</w:t>
      </w:r>
      <w:r>
        <w:t xml:space="preserve"> </w:t>
      </w:r>
      <w:r>
        <w:t xml:space="preserve">experience was that the GS and LD treatments were usually much more difficult to</w:t>
      </w:r>
      <w:r>
        <w:t xml:space="preserve"> </w:t>
      </w:r>
      <w:r>
        <w:t xml:space="preserve">work in due to the amount of understory growth present in these treatments. Our</w:t>
      </w:r>
      <w:r>
        <w:t xml:space="preserve"> </w:t>
      </w:r>
      <w:r>
        <w:t xml:space="preserve">experience in the field was partially validated by our findings of somewhat</w:t>
      </w:r>
      <w:r>
        <w:t xml:space="preserve"> </w:t>
      </w:r>
      <w:r>
        <w:t xml:space="preserve">elevated basal area of tanoak 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20"/>
    <w:bookmarkStart w:id="121"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21"/>
    <w:bookmarkEnd w:id="122"/>
    <w:bookmarkEnd w:id="123"/>
    <w:bookmarkStart w:id="126" w:name="conclusion"/>
    <w:p>
      <w:pPr>
        <w:pStyle w:val="Heading1"/>
      </w:pPr>
      <w:r>
        <w:t xml:space="preserve">5. Conclusion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24" name="Picture"/>
                  <a:graphic>
                    <a:graphicData uri="http://schemas.openxmlformats.org/drawingml/2006/picture">
                      <pic:pic>
                        <pic:nvPicPr>
                          <pic:cNvPr descr="C:\Users\walki\AppData\Local\Programs\Quarto\share\formats\docx\caution.png" id="125"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tc>
      </w:tr>
    </w:tbl>
    <w:bookmarkEnd w:id="126"/>
    <w:bookmarkStart w:id="294" w:name="references-1"/>
    <w:p>
      <w:pPr>
        <w:pStyle w:val="Heading1"/>
      </w:pPr>
      <w:r>
        <w:t xml:space="preserve">6. References</w:t>
      </w:r>
    </w:p>
    <w:bookmarkStart w:id="293" w:name="refs"/>
    <w:bookmarkStart w:id="128"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27">
        <w:r>
          <w:rPr>
            <w:rStyle w:val="Hyperlink"/>
          </w:rPr>
          <w:t xml:space="preserve">https://doi.org/10.1016/j.foreco.2005.01.034</w:t>
        </w:r>
      </w:hyperlink>
    </w:p>
    <w:bookmarkEnd w:id="128"/>
    <w:bookmarkStart w:id="129" w:name="ref-andersonTendingWildNative2013"/>
    <w:p>
      <w:pPr>
        <w:pStyle w:val="Bibliography"/>
      </w:pPr>
      <w:r>
        <w:t xml:space="preserve">Anderson, M. K. (2013).</w:t>
      </w:r>
      <w:r>
        <w:t xml:space="preserve"> </w:t>
      </w:r>
      <w:r>
        <w:rPr>
          <w:iCs/>
          <w:i/>
        </w:rPr>
        <w:t xml:space="preserve">Tending the</w:t>
      </w:r>
      <w:r>
        <w:rPr>
          <w:iCs/>
          <w:i/>
        </w:rPr>
        <w:t xml:space="preserve"> </w:t>
      </w:r>
      <w:r>
        <w:rPr>
          <w:iCs/>
          <w:i/>
        </w:rPr>
        <w:t xml:space="preserve">Wild</w:t>
      </w:r>
      <w:r>
        <w:rPr>
          <w:iCs/>
          <w:i/>
        </w:rPr>
        <w:t xml:space="preserve">:</w:t>
      </w:r>
      <w:r>
        <w:rPr>
          <w:iCs/>
          <w:i/>
        </w:rPr>
        <w:t xml:space="preserve"> </w:t>
      </w:r>
      <w:r>
        <w:rPr>
          <w:iCs/>
          <w:i/>
        </w:rPr>
        <w:t xml:space="preserve">Native American Knowledge</w:t>
      </w:r>
      <w:r>
        <w:rPr>
          <w:iCs/>
          <w:i/>
        </w:rPr>
        <w:t xml:space="preserve"> </w:t>
      </w:r>
      <w:r>
        <w:rPr>
          <w:iCs/>
          <w:i/>
        </w:rPr>
        <w:t xml:space="preserve">and the</w:t>
      </w:r>
      <w:r>
        <w:rPr>
          <w:iCs/>
          <w:i/>
        </w:rPr>
        <w:t xml:space="preserve"> </w:t>
      </w:r>
      <w:r>
        <w:rPr>
          <w:iCs/>
          <w:i/>
        </w:rPr>
        <w:t xml:space="preserve">Management</w:t>
      </w:r>
      <w:r>
        <w:rPr>
          <w:iCs/>
          <w:i/>
        </w:rPr>
        <w:t xml:space="preserve"> </w:t>
      </w:r>
      <w:r>
        <w:rPr>
          <w:iCs/>
          <w:i/>
        </w:rPr>
        <w:t xml:space="preserve">of</w:t>
      </w:r>
      <w:r>
        <w:rPr>
          <w:iCs/>
          <w:i/>
        </w:rPr>
        <w:t xml:space="preserve"> </w:t>
      </w:r>
      <w:r>
        <w:rPr>
          <w:iCs/>
          <w:i/>
        </w:rPr>
        <w:t xml:space="preserve">California</w:t>
      </w:r>
      <w:r>
        <w:rPr>
          <w:iCs/>
          <w:i/>
        </w:rPr>
        <w:t xml:space="preserve">’s</w:t>
      </w:r>
      <w:r>
        <w:rPr>
          <w:iCs/>
          <w:i/>
        </w:rPr>
        <w:t xml:space="preserve"> </w:t>
      </w:r>
      <w:r>
        <w:rPr>
          <w:iCs/>
          <w:i/>
        </w:rPr>
        <w:t xml:space="preserve">Natural Resources</w:t>
      </w:r>
      <w:r>
        <w:t xml:space="preserve">.</w:t>
      </w:r>
    </w:p>
    <w:bookmarkEnd w:id="129"/>
    <w:bookmarkStart w:id="130"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30"/>
    <w:bookmarkStart w:id="132"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31">
        <w:r>
          <w:rPr>
            <w:rStyle w:val="Hyperlink"/>
          </w:rPr>
          <w:t xml:space="preserve">https://doi.org/10.1016/j.foreco.2008.11.028</w:t>
        </w:r>
      </w:hyperlink>
    </w:p>
    <w:bookmarkEnd w:id="132"/>
    <w:bookmarkStart w:id="133"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33"/>
    <w:bookmarkStart w:id="134"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34"/>
    <w:bookmarkStart w:id="136"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35">
        <w:r>
          <w:rPr>
            <w:rStyle w:val="Hyperlink"/>
          </w:rPr>
          <w:t xml:space="preserve">https://doi.org/10.1186/s13717-019-0181-9</w:t>
        </w:r>
      </w:hyperlink>
    </w:p>
    <w:bookmarkEnd w:id="136"/>
    <w:bookmarkStart w:id="138"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37">
        <w:r>
          <w:rPr>
            <w:rStyle w:val="Hyperlink"/>
          </w:rPr>
          <w:t xml:space="preserve">https://doi.org/10.1139/X06-271</w:t>
        </w:r>
      </w:hyperlink>
    </w:p>
    <w:bookmarkEnd w:id="138"/>
    <w:bookmarkStart w:id="140"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39">
        <w:r>
          <w:rPr>
            <w:rStyle w:val="Hyperlink"/>
          </w:rPr>
          <w:t xml:space="preserve">https://doi.org/10.1093/wjaf/24.1.24</w:t>
        </w:r>
      </w:hyperlink>
    </w:p>
    <w:bookmarkEnd w:id="140"/>
    <w:bookmarkStart w:id="142"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41">
        <w:r>
          <w:rPr>
            <w:rStyle w:val="Hyperlink"/>
          </w:rPr>
          <w:t xml:space="preserve">https://www.fs.usda.gov/treesearch/pubs/55449</w:t>
        </w:r>
      </w:hyperlink>
    </w:p>
    <w:bookmarkEnd w:id="142"/>
    <w:bookmarkStart w:id="144"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43">
        <w:r>
          <w:rPr>
            <w:rStyle w:val="Hyperlink"/>
          </w:rPr>
          <w:t xml:space="preserve">https://doi.org/10.1007/s11056-018-9636-6</w:t>
        </w:r>
      </w:hyperlink>
    </w:p>
    <w:bookmarkEnd w:id="144"/>
    <w:bookmarkStart w:id="145"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45"/>
    <w:bookmarkStart w:id="146"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46"/>
    <w:bookmarkStart w:id="148"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47">
        <w:r>
          <w:rPr>
            <w:rStyle w:val="Hyperlink"/>
          </w:rPr>
          <w:t xml:space="preserve">https://doi.org/10.32614/RJ-2017-066</w:t>
        </w:r>
      </w:hyperlink>
    </w:p>
    <w:bookmarkEnd w:id="148"/>
    <w:bookmarkStart w:id="149"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49"/>
    <w:bookmarkStart w:id="151"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50">
        <w:r>
          <w:rPr>
            <w:rStyle w:val="Hyperlink"/>
          </w:rPr>
          <w:t xml:space="preserve">https://doi.org/10.1016/j.foreco.2022.120353</w:t>
        </w:r>
      </w:hyperlink>
    </w:p>
    <w:bookmarkEnd w:id="151"/>
    <w:bookmarkStart w:id="153"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Cs/>
          <w:i/>
        </w:rPr>
        <w:t xml:space="preserve">Forest Ecology and Management</w:t>
      </w:r>
      <w:r>
        <w:t xml:space="preserve">,</w:t>
      </w:r>
      <w:r>
        <w:t xml:space="preserve"> </w:t>
      </w:r>
      <w:r>
        <w:rPr>
          <w:iCs/>
          <w:i/>
        </w:rPr>
        <w:t xml:space="preserve">381</w:t>
      </w:r>
      <w:r>
        <w:t xml:space="preserve">, 74–83.</w:t>
      </w:r>
      <w:r>
        <w:t xml:space="preserve"> </w:t>
      </w:r>
      <w:hyperlink r:id="rId152">
        <w:r>
          <w:rPr>
            <w:rStyle w:val="Hyperlink"/>
          </w:rPr>
          <w:t xml:space="preserve">https://doi.org/10.1016/j.foreco.2016.09.010</w:t>
        </w:r>
      </w:hyperlink>
    </w:p>
    <w:bookmarkEnd w:id="153"/>
    <w:bookmarkStart w:id="155"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54">
        <w:r>
          <w:rPr>
            <w:rStyle w:val="Hyperlink"/>
          </w:rPr>
          <w:t xml:space="preserve">https://doi.org/10.1111/rec.12681</w:t>
        </w:r>
      </w:hyperlink>
    </w:p>
    <w:bookmarkEnd w:id="155"/>
    <w:bookmarkStart w:id="157"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56">
        <w:r>
          <w:rPr>
            <w:rStyle w:val="Hyperlink"/>
          </w:rPr>
          <w:t xml:space="preserve">https://doi.org/10.1139/cjfr-2022-0214</w:t>
        </w:r>
      </w:hyperlink>
    </w:p>
    <w:bookmarkEnd w:id="157"/>
    <w:bookmarkStart w:id="159"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58">
        <w:r>
          <w:rPr>
            <w:rStyle w:val="Hyperlink"/>
          </w:rPr>
          <w:t xml:space="preserve">https://doi.org/10.1007/BF02858075</w:t>
        </w:r>
      </w:hyperlink>
    </w:p>
    <w:bookmarkEnd w:id="159"/>
    <w:bookmarkStart w:id="161"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60">
        <w:r>
          <w:rPr>
            <w:rStyle w:val="Hyperlink"/>
          </w:rPr>
          <w:t xml:space="preserve">https://doi.org/10.1139/x26-066</w:t>
        </w:r>
      </w:hyperlink>
    </w:p>
    <w:bookmarkEnd w:id="161"/>
    <w:bookmarkStart w:id="162"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62"/>
    <w:bookmarkStart w:id="164"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63">
        <w:r>
          <w:rPr>
            <w:rStyle w:val="Hyperlink"/>
          </w:rPr>
          <w:t xml:space="preserve">https://doi.org/10.1139/x93-143</w:t>
        </w:r>
      </w:hyperlink>
    </w:p>
    <w:bookmarkEnd w:id="164"/>
    <w:bookmarkStart w:id="165" w:name="ref-finneyWildlandFireBehaviour2021"/>
    <w:p>
      <w:pPr>
        <w:pStyle w:val="Bibliography"/>
      </w:pPr>
      <w:r>
        <w:t xml:space="preserve">Finney, M. A., McAllister, S. S., Grumstrup, T. P., &amp; Forthofer, J. M. (2021).</w:t>
      </w:r>
      <w:r>
        <w:t xml:space="preserve"> </w:t>
      </w:r>
      <w:r>
        <w:rPr>
          <w:iCs/>
          <w:i/>
        </w:rPr>
        <w:t xml:space="preserve">Wildland fire behaviour: Dynamics, principles and processes</w:t>
      </w:r>
      <w:r>
        <w:t xml:space="preserve">. CSIRO Publishing.</w:t>
      </w:r>
    </w:p>
    <w:bookmarkEnd w:id="165"/>
    <w:bookmarkStart w:id="166"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66"/>
    <w:bookmarkStart w:id="168"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Cs/>
          <w:i/>
        </w:rPr>
        <w:t xml:space="preserve">Forest Ecology and Management</w:t>
      </w:r>
      <w:r>
        <w:t xml:space="preserve">,</w:t>
      </w:r>
      <w:r>
        <w:t xml:space="preserve"> </w:t>
      </w:r>
      <w:r>
        <w:rPr>
          <w:iCs/>
          <w:i/>
        </w:rPr>
        <w:t xml:space="preserve">329</w:t>
      </w:r>
      <w:r>
        <w:t xml:space="preserve">, 137–147.</w:t>
      </w:r>
      <w:r>
        <w:t xml:space="preserve"> </w:t>
      </w:r>
      <w:hyperlink r:id="rId167">
        <w:r>
          <w:rPr>
            <w:rStyle w:val="Hyperlink"/>
          </w:rPr>
          <w:t xml:space="preserve">https://doi.org/10.1016/j.foreco.2014.06.025</w:t>
        </w:r>
      </w:hyperlink>
    </w:p>
    <w:bookmarkEnd w:id="168"/>
    <w:bookmarkStart w:id="170" w:name="ref-fryerNotholithocarpusDensiflorus2008"/>
    <w:p>
      <w:pPr>
        <w:pStyle w:val="Bibliography"/>
      </w:pPr>
      <w:r>
        <w:t xml:space="preserve">Fryer, J. L. (2008).</w:t>
      </w:r>
      <w:r>
        <w:t xml:space="preserve"> </w:t>
      </w:r>
      <w:r>
        <w:rPr>
          <w:iCs/>
          <w:i/>
        </w:rPr>
        <w:t xml:space="preserve">Notholithocarpus densiflorus</w:t>
      </w:r>
      <w:r>
        <w:t xml:space="preserve">. U.S. Department of Agriculture, Forest Service, Rocky Mountain Research Station, Fire Sciences Laboratory.</w:t>
      </w:r>
      <w:r>
        <w:t xml:space="preserve"> </w:t>
      </w:r>
      <w:hyperlink r:id="rId169">
        <w:r>
          <w:rPr>
            <w:rStyle w:val="Hyperlink"/>
          </w:rPr>
          <w:t xml:space="preserve">https://www.fs.usda.gov/database/feis/plants/tree/notden/all.html</w:t>
        </w:r>
      </w:hyperlink>
    </w:p>
    <w:bookmarkEnd w:id="170"/>
    <w:bookmarkStart w:id="172" w:name="ref-gangiFIREMONDatabaseUser2006"/>
    <w:p>
      <w:pPr>
        <w:pStyle w:val="Bibliography"/>
      </w:pPr>
      <w:r>
        <w:t xml:space="preserve">Gangi, L. J. (2006).</w:t>
      </w:r>
      <w:r>
        <w:t xml:space="preserve"> </w:t>
      </w:r>
      <w:r>
        <w:rPr>
          <w:iCs/>
          <w:i/>
        </w:rPr>
        <w:t xml:space="preserve">FIREMON</w:t>
      </w:r>
      <w:r>
        <w:rPr>
          <w:iCs/>
          <w:i/>
        </w:rPr>
        <w:t xml:space="preserve"> </w:t>
      </w:r>
      <w:r>
        <w:rPr>
          <w:iCs/>
          <w:i/>
        </w:rPr>
        <w:t xml:space="preserve">database user manual</w:t>
      </w:r>
      <w:r>
        <w:t xml:space="preserve"> </w:t>
      </w:r>
      <w:r>
        <w:t xml:space="preserve">(RMRS-GTR-164; pp. RMRS-GTR-164). U.S. Department of Agriculture, Forest Service, Rocky Mountain Research Station.</w:t>
      </w:r>
      <w:r>
        <w:t xml:space="preserve"> </w:t>
      </w:r>
      <w:hyperlink r:id="rId171">
        <w:r>
          <w:rPr>
            <w:rStyle w:val="Hyperlink"/>
          </w:rPr>
          <w:t xml:space="preserve">https://doi.org/10.2737/RMRS-GTR-164</w:t>
        </w:r>
      </w:hyperlink>
    </w:p>
    <w:bookmarkEnd w:id="172"/>
    <w:bookmarkStart w:id="174"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73">
        <w:r>
          <w:rPr>
            <w:rStyle w:val="Hyperlink"/>
          </w:rPr>
          <w:t xml:space="preserve">https://doi.org/10.1023/A:1006502107495</w:t>
        </w:r>
      </w:hyperlink>
    </w:p>
    <w:bookmarkEnd w:id="174"/>
    <w:bookmarkStart w:id="176"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75">
        <w:r>
          <w:rPr>
            <w:rStyle w:val="Hyperlink"/>
          </w:rPr>
          <w:t xml:space="preserve">https://scholarworks.calstate.edu/concern/theses/ws859j014</w:t>
        </w:r>
      </w:hyperlink>
    </w:p>
    <w:bookmarkEnd w:id="176"/>
    <w:bookmarkStart w:id="178"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77">
        <w:r>
          <w:rPr>
            <w:rStyle w:val="Hyperlink"/>
          </w:rPr>
          <w:t xml:space="preserve">https://doi.org/10.1139/x06-206</w:t>
        </w:r>
      </w:hyperlink>
    </w:p>
    <w:bookmarkEnd w:id="178"/>
    <w:bookmarkStart w:id="179"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79"/>
    <w:bookmarkStart w:id="181"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80">
        <w:r>
          <w:rPr>
            <w:rStyle w:val="Hyperlink"/>
          </w:rPr>
          <w:t xml:space="preserve">https://www.elibrary.ru/item.asp?id=7397149</w:t>
        </w:r>
      </w:hyperlink>
    </w:p>
    <w:bookmarkEnd w:id="181"/>
    <w:bookmarkStart w:id="183"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82">
        <w:r>
          <w:rPr>
            <w:rStyle w:val="Hyperlink"/>
          </w:rPr>
          <w:t xml:space="preserve">https://www.tandfonline.com/doi/abs/10.1080/21580103.2020.1712264</w:t>
        </w:r>
      </w:hyperlink>
    </w:p>
    <w:bookmarkEnd w:id="183"/>
    <w:bookmarkStart w:id="185"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84">
        <w:r>
          <w:rPr>
            <w:rStyle w:val="Hyperlink"/>
          </w:rPr>
          <w:t xml:space="preserve">https://doi.org/10.1093/wjaf/7.4.103</w:t>
        </w:r>
      </w:hyperlink>
    </w:p>
    <w:bookmarkEnd w:id="185"/>
    <w:bookmarkStart w:id="187"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86">
        <w:r>
          <w:rPr>
            <w:rStyle w:val="Hyperlink"/>
          </w:rPr>
          <w:t xml:space="preserve">https://CRAN.R-project.org/package=DHARMa</w:t>
        </w:r>
      </w:hyperlink>
    </w:p>
    <w:bookmarkEnd w:id="187"/>
    <w:bookmarkStart w:id="189"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88">
        <w:r>
          <w:rPr>
            <w:rStyle w:val="Hyperlink"/>
          </w:rPr>
          <w:t xml:space="preserve">https://www.frontiersin.org/articles/10.3389/ffgc.2020.00078</w:t>
        </w:r>
      </w:hyperlink>
    </w:p>
    <w:bookmarkEnd w:id="189"/>
    <w:bookmarkStart w:id="190" w:name="ref-hornAdaptiveGeometryTrees1971"/>
    <w:p>
      <w:pPr>
        <w:pStyle w:val="Bibliography"/>
      </w:pPr>
      <w:r>
        <w:t xml:space="preserve">Horn, H. S. (1971).</w:t>
      </w:r>
      <w:r>
        <w:t xml:space="preserve"> </w:t>
      </w:r>
      <w:r>
        <w:rPr>
          <w:iCs/>
          <w:i/>
        </w:rPr>
        <w:t xml:space="preserve">Adaptive</w:t>
      </w:r>
      <w:r>
        <w:rPr>
          <w:iCs/>
          <w:i/>
        </w:rPr>
        <w:t xml:space="preserve"> </w:t>
      </w:r>
      <w:r>
        <w:rPr>
          <w:iCs/>
          <w:i/>
        </w:rPr>
        <w:t xml:space="preserve">Geometry</w:t>
      </w:r>
      <w:r>
        <w:rPr>
          <w:iCs/>
          <w:i/>
        </w:rPr>
        <w:t xml:space="preserve"> </w:t>
      </w:r>
      <w:r>
        <w:rPr>
          <w:iCs/>
          <w:i/>
        </w:rPr>
        <w:t xml:space="preserve">of</w:t>
      </w:r>
      <w:r>
        <w:rPr>
          <w:iCs/>
          <w:i/>
        </w:rPr>
        <w:t xml:space="preserve"> </w:t>
      </w:r>
      <w:r>
        <w:rPr>
          <w:iCs/>
          <w:i/>
        </w:rPr>
        <w:t xml:space="preserve">Trees</w:t>
      </w:r>
      <w:r>
        <w:t xml:space="preserve">. Princeton University Press.</w:t>
      </w:r>
    </w:p>
    <w:bookmarkEnd w:id="190"/>
    <w:bookmarkStart w:id="192"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191">
        <w:r>
          <w:rPr>
            <w:rStyle w:val="Hyperlink"/>
          </w:rPr>
          <w:t xml:space="preserve">https://academic.oup.com/jof/article-abstract/83/8/494/4647048</w:t>
        </w:r>
      </w:hyperlink>
    </w:p>
    <w:bookmarkEnd w:id="192"/>
    <w:bookmarkStart w:id="194"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193">
        <w:r>
          <w:rPr>
            <w:rStyle w:val="Hyperlink"/>
          </w:rPr>
          <w:t xml:space="preserve">https://books.google.com?id=x3tw07l1IQQC</w:t>
        </w:r>
      </w:hyperlink>
    </w:p>
    <w:bookmarkEnd w:id="194"/>
    <w:bookmarkStart w:id="196"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195">
        <w:r>
          <w:rPr>
            <w:rStyle w:val="Hyperlink"/>
          </w:rPr>
          <w:t xml:space="preserve">https://doi.org/10.1139/X08-003</w:t>
        </w:r>
      </w:hyperlink>
    </w:p>
    <w:bookmarkEnd w:id="196"/>
    <w:bookmarkStart w:id="197"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197"/>
    <w:bookmarkStart w:id="199"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198">
        <w:r>
          <w:rPr>
            <w:rStyle w:val="Hyperlink"/>
          </w:rPr>
          <w:t xml:space="preserve">https://doi.org/10.1007/s11056-015-9470-z</w:t>
        </w:r>
      </w:hyperlink>
    </w:p>
    <w:bookmarkEnd w:id="199"/>
    <w:bookmarkStart w:id="201"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200">
        <w:r>
          <w:rPr>
            <w:rStyle w:val="Hyperlink"/>
          </w:rPr>
          <w:t xml:space="preserve">https://doi.org/10.1016/j.foreco.2014.01.045</w:t>
        </w:r>
      </w:hyperlink>
    </w:p>
    <w:bookmarkEnd w:id="201"/>
    <w:bookmarkStart w:id="203"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202">
        <w:r>
          <w:rPr>
            <w:rStyle w:val="Hyperlink"/>
          </w:rPr>
          <w:t xml:space="preserve">https://doi.org/10.1093/jof/38.9.729</w:t>
        </w:r>
      </w:hyperlink>
    </w:p>
    <w:bookmarkEnd w:id="203"/>
    <w:bookmarkStart w:id="205"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204">
        <w:r>
          <w:rPr>
            <w:rStyle w:val="Hyperlink"/>
          </w:rPr>
          <w:t xml:space="preserve">https://doi.org/10.5849/FS-2016-029R2</w:t>
        </w:r>
      </w:hyperlink>
    </w:p>
    <w:bookmarkEnd w:id="205"/>
    <w:bookmarkStart w:id="207"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206">
        <w:r>
          <w:rPr>
            <w:rStyle w:val="Hyperlink"/>
          </w:rPr>
          <w:t xml:space="preserve">https://doi.org/10.1016/j.foreco.2010.02.022</w:t>
        </w:r>
      </w:hyperlink>
    </w:p>
    <w:bookmarkEnd w:id="207"/>
    <w:bookmarkStart w:id="209" w:name="ref-lenthEmmeansEstimatedMarginal2021"/>
    <w:p>
      <w:pPr>
        <w:pStyle w:val="Bibliography"/>
      </w:pPr>
      <w:r>
        <w:t xml:space="preserve">Lenth, R. V. (2021).</w:t>
      </w:r>
      <w:r>
        <w:t xml:space="preserve"> </w:t>
      </w:r>
      <w:r>
        <w:rPr>
          <w:iCs/>
          <w:i/>
        </w:rPr>
        <w:t xml:space="preserve">Emmeans:</w:t>
      </w:r>
      <w:r>
        <w:rPr>
          <w:iCs/>
          <w:i/>
        </w:rPr>
        <w:t xml:space="preserve"> </w:t>
      </w:r>
      <w:r>
        <w:rPr>
          <w:iCs/>
          <w:i/>
        </w:rPr>
        <w:t xml:space="preserve">Estimated</w:t>
      </w:r>
      <w:r>
        <w:rPr>
          <w:iCs/>
          <w:i/>
        </w:rPr>
        <w:t xml:space="preserve"> </w:t>
      </w:r>
      <w:r>
        <w:rPr>
          <w:iCs/>
          <w:i/>
        </w:rPr>
        <w:t xml:space="preserve">marginal means, aka least-squares means</w:t>
      </w:r>
      <w:r>
        <w:t xml:space="preserve"> </w:t>
      </w:r>
      <w:r>
        <w:t xml:space="preserve">[Manual].</w:t>
      </w:r>
      <w:r>
        <w:t xml:space="preserve"> </w:t>
      </w:r>
      <w:hyperlink r:id="rId208">
        <w:r>
          <w:rPr>
            <w:rStyle w:val="Hyperlink"/>
          </w:rPr>
          <w:t xml:space="preserve">https://CRAN.R-project.org/package=emmeans</w:t>
        </w:r>
      </w:hyperlink>
    </w:p>
    <w:bookmarkEnd w:id="209"/>
    <w:bookmarkStart w:id="211"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Cs/>
          <w:i/>
        </w:rPr>
        <w:t xml:space="preserve">Oecologia</w:t>
      </w:r>
      <w:r>
        <w:t xml:space="preserve">,</w:t>
      </w:r>
      <w:r>
        <w:t xml:space="preserve"> </w:t>
      </w:r>
      <w:r>
        <w:rPr>
          <w:iCs/>
          <w:i/>
        </w:rPr>
        <w:t xml:space="preserve">132</w:t>
      </w:r>
      <w:r>
        <w:t xml:space="preserve">(3), 428–435.</w:t>
      </w:r>
      <w:r>
        <w:t xml:space="preserve"> </w:t>
      </w:r>
      <w:hyperlink r:id="rId210">
        <w:r>
          <w:rPr>
            <w:rStyle w:val="Hyperlink"/>
          </w:rPr>
          <w:t xml:space="preserve">https://doi.org/10.1007/s00442-002-0986-5</w:t>
        </w:r>
      </w:hyperlink>
    </w:p>
    <w:bookmarkEnd w:id="211"/>
    <w:bookmarkStart w:id="213"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12">
        <w:r>
          <w:rPr>
            <w:rStyle w:val="Hyperlink"/>
          </w:rPr>
          <w:t xml:space="preserve">https://www.google.com/books/edition/Sprout_Regeneration_of_Young_growth_Redw/48fMLtW9rRgC</w:t>
        </w:r>
      </w:hyperlink>
    </w:p>
    <w:bookmarkEnd w:id="213"/>
    <w:bookmarkStart w:id="215"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214">
        <w:r>
          <w:rPr>
            <w:rStyle w:val="Hyperlink"/>
          </w:rPr>
          <w:t xml:space="preserve">https://catalog.hathitrust.org/Record/010837951</w:t>
        </w:r>
      </w:hyperlink>
    </w:p>
    <w:bookmarkEnd w:id="215"/>
    <w:bookmarkStart w:id="217"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216">
        <w:r>
          <w:rPr>
            <w:rStyle w:val="Hyperlink"/>
          </w:rPr>
          <w:t xml:space="preserve">https://doi.org/10.1016/j.foreco.2009.07.008</w:t>
        </w:r>
      </w:hyperlink>
    </w:p>
    <w:bookmarkEnd w:id="217"/>
    <w:bookmarkStart w:id="218"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71">
        <w:r>
          <w:rPr>
            <w:rStyle w:val="Hyperlink"/>
          </w:rPr>
          <w:t xml:space="preserve">https://doi.org/10.2737/RMRS-GTR-164</w:t>
        </w:r>
      </w:hyperlink>
    </w:p>
    <w:bookmarkEnd w:id="218"/>
    <w:bookmarkStart w:id="220"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219">
        <w:r>
          <w:rPr>
            <w:rStyle w:val="Hyperlink"/>
          </w:rPr>
          <w:t xml:space="preserve">https://doi.org/10.2737/RMRS-RP-103</w:t>
        </w:r>
      </w:hyperlink>
    </w:p>
    <w:bookmarkEnd w:id="220"/>
    <w:bookmarkStart w:id="222"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221">
        <w:r>
          <w:rPr>
            <w:rStyle w:val="Hyperlink"/>
          </w:rPr>
          <w:t xml:space="preserve">https://ir.library.oregonstate.edu/downloads/70795d72s</w:t>
        </w:r>
      </w:hyperlink>
    </w:p>
    <w:bookmarkEnd w:id="222"/>
    <w:bookmarkStart w:id="223"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223"/>
    <w:bookmarkStart w:id="224"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Cs/>
          <w:i/>
        </w:rPr>
        <w:t xml:space="preserve">Journal of Forestry</w:t>
      </w:r>
      <w:r>
        <w:t xml:space="preserve">, 7.</w:t>
      </w:r>
    </w:p>
    <w:bookmarkEnd w:id="224"/>
    <w:bookmarkStart w:id="226"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225">
        <w:r>
          <w:rPr>
            <w:rStyle w:val="Hyperlink"/>
          </w:rPr>
          <w:t xml:space="preserve">https://doi.org/10.5558/tfc78397-3</w:t>
        </w:r>
      </w:hyperlink>
    </w:p>
    <w:bookmarkEnd w:id="226"/>
    <w:bookmarkStart w:id="228"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227">
        <w:r>
          <w:rPr>
            <w:rStyle w:val="Hyperlink"/>
          </w:rPr>
          <w:t xml:space="preserve">https://digitalcommons.humboldt.edu/etd/269</w:t>
        </w:r>
      </w:hyperlink>
    </w:p>
    <w:bookmarkEnd w:id="228"/>
    <w:bookmarkStart w:id="230"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229">
        <w:r>
          <w:rPr>
            <w:rStyle w:val="Hyperlink"/>
          </w:rPr>
          <w:t xml:space="preserve">https://doi.org/10.1016/j.foreco.2022.120236</w:t>
        </w:r>
      </w:hyperlink>
    </w:p>
    <w:bookmarkEnd w:id="230"/>
    <w:bookmarkStart w:id="232"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31">
        <w:r>
          <w:rPr>
            <w:rStyle w:val="Hyperlink"/>
          </w:rPr>
          <w:t xml:space="preserve">https://www.fs.usda.gov/research/treesearch/37978</w:t>
        </w:r>
      </w:hyperlink>
    </w:p>
    <w:bookmarkEnd w:id="232"/>
    <w:bookmarkStart w:id="234"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233">
        <w:r>
          <w:rPr>
            <w:rStyle w:val="Hyperlink"/>
          </w:rPr>
          <w:t xml:space="preserve">https://doi.org/10.1016/j.foreco.2022.120136</w:t>
        </w:r>
      </w:hyperlink>
    </w:p>
    <w:bookmarkEnd w:id="234"/>
    <w:bookmarkStart w:id="236"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35">
        <w:r>
          <w:rPr>
            <w:rStyle w:val="Hyperlink"/>
          </w:rPr>
          <w:t xml:space="preserve">https://doi.org/10.1002/ece3.3737</w:t>
        </w:r>
      </w:hyperlink>
    </w:p>
    <w:bookmarkEnd w:id="236"/>
    <w:bookmarkStart w:id="238"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Cs/>
          <w:i/>
        </w:rPr>
        <w:t xml:space="preserve">Journal of Forestry</w:t>
      </w:r>
      <w:r>
        <w:t xml:space="preserve">,</w:t>
      </w:r>
      <w:r>
        <w:t xml:space="preserve"> </w:t>
      </w:r>
      <w:r>
        <w:rPr>
          <w:iCs/>
          <w:i/>
        </w:rPr>
        <w:t xml:space="preserve">119</w:t>
      </w:r>
      <w:r>
        <w:t xml:space="preserve">(5), 520–544.</w:t>
      </w:r>
      <w:r>
        <w:t xml:space="preserve"> </w:t>
      </w:r>
      <w:hyperlink r:id="rId237">
        <w:r>
          <w:rPr>
            <w:rStyle w:val="Hyperlink"/>
          </w:rPr>
          <w:t xml:space="preserve">https://doi.org/10.1093/jofore/fvab026</w:t>
        </w:r>
      </w:hyperlink>
    </w:p>
    <w:bookmarkEnd w:id="238"/>
    <w:bookmarkStart w:id="240"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39">
        <w:r>
          <w:rPr>
            <w:rStyle w:val="Hyperlink"/>
          </w:rPr>
          <w:t xml:space="preserve">https://doi.org/10.1093/jof/96.7.4a</w:t>
        </w:r>
      </w:hyperlink>
    </w:p>
    <w:bookmarkEnd w:id="240"/>
    <w:bookmarkStart w:id="242"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41">
        <w:r>
          <w:rPr>
            <w:rStyle w:val="Hyperlink"/>
          </w:rPr>
          <w:t xml:space="preserve">https://doi.org/10.1016/S0378-1127(00)00698-8</w:t>
        </w:r>
      </w:hyperlink>
    </w:p>
    <w:bookmarkEnd w:id="242"/>
    <w:bookmarkStart w:id="244"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43">
        <w:r>
          <w:rPr>
            <w:rStyle w:val="Hyperlink"/>
          </w:rPr>
          <w:t xml:space="preserve">https://doi.org/10.1093/forestry/75.4.339</w:t>
        </w:r>
      </w:hyperlink>
    </w:p>
    <w:bookmarkEnd w:id="244"/>
    <w:bookmarkStart w:id="246"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45">
        <w:r>
          <w:rPr>
            <w:rStyle w:val="Hyperlink"/>
          </w:rPr>
          <w:t xml:space="preserve">https://doi.org/10.1007/s10310-009-0166-0</w:t>
        </w:r>
      </w:hyperlink>
    </w:p>
    <w:bookmarkEnd w:id="246"/>
    <w:bookmarkStart w:id="248"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47">
        <w:r>
          <w:rPr>
            <w:rStyle w:val="Hyperlink"/>
          </w:rPr>
          <w:t xml:space="preserve">https://doi.org/10.3390/f8050144</w:t>
        </w:r>
      </w:hyperlink>
    </w:p>
    <w:bookmarkEnd w:id="248"/>
    <w:bookmarkStart w:id="250"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49">
        <w:r>
          <w:rPr>
            <w:rStyle w:val="Hyperlink"/>
          </w:rPr>
          <w:t xml:space="preserve">https://doi.org/10.1016/j.foreco.2007.03.062</w:t>
        </w:r>
      </w:hyperlink>
    </w:p>
    <w:bookmarkEnd w:id="250"/>
    <w:bookmarkStart w:id="252"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51">
        <w:r>
          <w:rPr>
            <w:rStyle w:val="Hyperlink"/>
          </w:rPr>
          <w:t xml:space="preserve">https://doi.org/10.1016/j.foreco.2021.119361</w:t>
        </w:r>
      </w:hyperlink>
    </w:p>
    <w:bookmarkEnd w:id="252"/>
    <w:bookmarkStart w:id="254"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53">
        <w:r>
          <w:rPr>
            <w:rStyle w:val="Hyperlink"/>
          </w:rPr>
          <w:t xml:space="preserve">https://doi.org/10.1029/2020GL089858</w:t>
        </w:r>
      </w:hyperlink>
    </w:p>
    <w:bookmarkEnd w:id="254"/>
    <w:bookmarkStart w:id="256"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55">
        <w:r>
          <w:rPr>
            <w:rStyle w:val="Hyperlink"/>
          </w:rPr>
          <w:t xml:space="preserve">https://doi.org/10.1093/forestscience/16.3.339</w:t>
        </w:r>
      </w:hyperlink>
    </w:p>
    <w:bookmarkEnd w:id="256"/>
    <w:bookmarkStart w:id="258"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57">
        <w:r>
          <w:rPr>
            <w:rStyle w:val="Hyperlink"/>
          </w:rPr>
          <w:t xml:space="preserve">https://www.fs.usda.gov/treesearch/pubs/60134</w:t>
        </w:r>
      </w:hyperlink>
    </w:p>
    <w:bookmarkEnd w:id="258"/>
    <w:bookmarkStart w:id="260"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59">
        <w:r>
          <w:rPr>
            <w:rStyle w:val="Hyperlink"/>
          </w:rPr>
          <w:t xml:space="preserve">https://doi.org/10.2737/PSW-GTR-256</w:t>
        </w:r>
      </w:hyperlink>
    </w:p>
    <w:bookmarkEnd w:id="260"/>
    <w:bookmarkStart w:id="262"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61">
        <w:r>
          <w:rPr>
            <w:rStyle w:val="Hyperlink"/>
          </w:rPr>
          <w:t xml:space="preserve">https://doi.org/10.3390/su152316409</w:t>
        </w:r>
      </w:hyperlink>
    </w:p>
    <w:bookmarkEnd w:id="262"/>
    <w:bookmarkStart w:id="264"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63">
        <w:r>
          <w:rPr>
            <w:rStyle w:val="Hyperlink"/>
          </w:rPr>
          <w:t xml:space="preserve">https://doi.org/10.1016/j.foreco.2013.04.015</w:t>
        </w:r>
      </w:hyperlink>
    </w:p>
    <w:bookmarkEnd w:id="264"/>
    <w:bookmarkStart w:id="265"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65"/>
    <w:bookmarkStart w:id="267"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66">
        <w:r>
          <w:rPr>
            <w:rStyle w:val="Hyperlink"/>
          </w:rPr>
          <w:t xml:space="preserve">https://doi.org/10.1093/forestry/75.4.329</w:t>
        </w:r>
      </w:hyperlink>
    </w:p>
    <w:bookmarkEnd w:id="267"/>
    <w:bookmarkStart w:id="268"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68"/>
    <w:bookmarkStart w:id="270"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69">
        <w:r>
          <w:rPr>
            <w:rStyle w:val="Hyperlink"/>
          </w:rPr>
          <w:t xml:space="preserve">https://doi.org/10.1016/j.foreco.2012.08.030</w:t>
        </w:r>
      </w:hyperlink>
    </w:p>
    <w:bookmarkEnd w:id="270"/>
    <w:bookmarkStart w:id="272"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71">
        <w:r>
          <w:rPr>
            <w:rStyle w:val="Hyperlink"/>
          </w:rPr>
          <w:t xml:space="preserve">https://esajournals.onlinelibrary.wiley.com/doi/full/10.1890/07-1755.1</w:t>
        </w:r>
      </w:hyperlink>
    </w:p>
    <w:bookmarkEnd w:id="272"/>
    <w:bookmarkStart w:id="273"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73"/>
    <w:bookmarkStart w:id="275"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74">
        <w:r>
          <w:rPr>
            <w:rStyle w:val="Hyperlink"/>
          </w:rPr>
          <w:t xml:space="preserve">https://doi.org/10.1016/j.foreco.2016.05.018</w:t>
        </w:r>
      </w:hyperlink>
    </w:p>
    <w:bookmarkEnd w:id="275"/>
    <w:bookmarkStart w:id="276"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76"/>
    <w:bookmarkStart w:id="278"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77">
        <w:r>
          <w:rPr>
            <w:rStyle w:val="Hyperlink"/>
          </w:rPr>
          <w:t xml:space="preserve">https://doi.org/10.1016/j.foreco.2022.120602</w:t>
        </w:r>
      </w:hyperlink>
    </w:p>
    <w:bookmarkEnd w:id="278"/>
    <w:bookmarkStart w:id="280" w:name="ref-waringRedwoodTanoakStand2008"/>
    <w:p>
      <w:pPr>
        <w:pStyle w:val="Bibliography"/>
      </w:pPr>
      <w:r>
        <w:t xml:space="preserve">Waring, K. M., &amp; O’Hara, K. L. (2008). Redwood/tanoak stand development and response to tanoak mortality caused by</w:t>
      </w:r>
      <w:r>
        <w:t xml:space="preserve"> </w:t>
      </w:r>
      <w:r>
        <w:rPr>
          <w:iCs/>
          <w:i/>
        </w:rPr>
        <w:t xml:space="preserve">Phytophthora</w:t>
      </w:r>
      <w:r>
        <w:rPr>
          <w:iCs/>
          <w:i/>
        </w:rPr>
        <w:t xml:space="preserve"> </w:t>
      </w:r>
      <w:r>
        <w:rPr>
          <w:iCs/>
          <w:i/>
        </w:rPr>
        <w:t xml:space="preserve">Ramorum</w:t>
      </w:r>
      <w:r>
        <w:t xml:space="preserve">.</w:t>
      </w:r>
      <w:r>
        <w:t xml:space="preserve"> </w:t>
      </w:r>
      <w:r>
        <w:rPr>
          <w:iCs/>
          <w:i/>
        </w:rPr>
        <w:t xml:space="preserve">Forest Ecology and Management</w:t>
      </w:r>
      <w:r>
        <w:t xml:space="preserve">,</w:t>
      </w:r>
      <w:r>
        <w:t xml:space="preserve"> </w:t>
      </w:r>
      <w:r>
        <w:rPr>
          <w:iCs/>
          <w:i/>
        </w:rPr>
        <w:t xml:space="preserve">255</w:t>
      </w:r>
      <w:r>
        <w:t xml:space="preserve">(7), 2650–2658.</w:t>
      </w:r>
      <w:r>
        <w:t xml:space="preserve"> </w:t>
      </w:r>
      <w:hyperlink r:id="rId279">
        <w:r>
          <w:rPr>
            <w:rStyle w:val="Hyperlink"/>
          </w:rPr>
          <w:t xml:space="preserve">https://doi.org/10.1016/j.foreco.2008.01.025</w:t>
        </w:r>
      </w:hyperlink>
    </w:p>
    <w:bookmarkEnd w:id="280"/>
    <w:bookmarkStart w:id="282"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81">
        <w:r>
          <w:rPr>
            <w:rStyle w:val="Hyperlink"/>
          </w:rPr>
          <w:t xml:space="preserve">https://www.fs.usda.gov/research/treesearch/41828</w:t>
        </w:r>
      </w:hyperlink>
    </w:p>
    <w:bookmarkEnd w:id="282"/>
    <w:bookmarkStart w:id="284"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83">
        <w:r>
          <w:rPr>
            <w:rStyle w:val="Hyperlink"/>
          </w:rPr>
          <w:t xml:space="preserve">http://hilgardia.ucanr.edu/Abstract/?a=hilg.v54n08p017</w:t>
        </w:r>
      </w:hyperlink>
    </w:p>
    <w:bookmarkEnd w:id="284"/>
    <w:bookmarkStart w:id="286"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85">
        <w:r>
          <w:rPr>
            <w:rStyle w:val="Hyperlink"/>
          </w:rPr>
          <w:t xml:space="preserve">https://doi.org/10.1098/rstb.2015.0178</w:t>
        </w:r>
      </w:hyperlink>
    </w:p>
    <w:bookmarkEnd w:id="286"/>
    <w:bookmarkStart w:id="287"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87"/>
    <w:bookmarkStart w:id="289"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88">
        <w:r>
          <w:rPr>
            <w:rStyle w:val="Hyperlink"/>
          </w:rPr>
          <w:t xml:space="preserve">https://doi.org/10.1093/wjaf/12.1.21</w:t>
        </w:r>
      </w:hyperlink>
    </w:p>
    <w:bookmarkEnd w:id="289"/>
    <w:bookmarkStart w:id="291"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Cs/>
          <w:i/>
        </w:rPr>
        <w:t xml:space="preserve">Encyclopedia of</w:t>
      </w:r>
      <w:r>
        <w:rPr>
          <w:iCs/>
          <w:i/>
        </w:rPr>
        <w:t xml:space="preserve"> </w:t>
      </w:r>
      <w:r>
        <w:rPr>
          <w:iCs/>
          <w:i/>
        </w:rPr>
        <w:t xml:space="preserve">Wildfires</w:t>
      </w:r>
      <w:r>
        <w:rPr>
          <w:iCs/>
          <w:i/>
        </w:rPr>
        <w:t xml:space="preserve"> </w:t>
      </w:r>
      <w:r>
        <w:rPr>
          <w:iCs/>
          <w:i/>
        </w:rPr>
        <w:t xml:space="preserve">and</w:t>
      </w:r>
      <w:r>
        <w:rPr>
          <w:iCs/>
          <w:i/>
        </w:rPr>
        <w:t xml:space="preserve"> </w:t>
      </w:r>
      <w:r>
        <w:rPr>
          <w:iCs/>
          <w:i/>
        </w:rPr>
        <w:t xml:space="preserve">Wildland-Urban Interface</w:t>
      </w:r>
      <w:r>
        <w:rPr>
          <w:iCs/>
          <w:i/>
        </w:rPr>
        <w:t xml:space="preserve"> </w:t>
      </w:r>
      <w:r>
        <w:rPr>
          <w:iCs/>
          <w:i/>
        </w:rPr>
        <w:t xml:space="preserve">(</w:t>
      </w:r>
      <w:r>
        <w:rPr>
          <w:iCs/>
          <w:i/>
        </w:rPr>
        <w:t xml:space="preserve">WUI</w:t>
      </w:r>
      <w:r>
        <w:rPr>
          <w:iCs/>
          <w:i/>
        </w:rPr>
        <w:t xml:space="preserve">)</w:t>
      </w:r>
      <w:r>
        <w:rPr>
          <w:iCs/>
          <w:i/>
        </w:rPr>
        <w:t xml:space="preserve"> </w:t>
      </w:r>
      <w:r>
        <w:rPr>
          <w:iCs/>
          <w:i/>
        </w:rPr>
        <w:t xml:space="preserve">Fires</w:t>
      </w:r>
      <w:r>
        <w:t xml:space="preserve"> </w:t>
      </w:r>
      <w:r>
        <w:t xml:space="preserve">(pp. 1–15). Springer International Publishing.</w:t>
      </w:r>
      <w:r>
        <w:t xml:space="preserve"> </w:t>
      </w:r>
      <w:hyperlink r:id="rId290">
        <w:r>
          <w:rPr>
            <w:rStyle w:val="Hyperlink"/>
          </w:rPr>
          <w:t xml:space="preserve">https://doi.org/10.1007/978-3-319-51727-8_13-1</w:t>
        </w:r>
      </w:hyperlink>
    </w:p>
    <w:bookmarkEnd w:id="291"/>
    <w:bookmarkStart w:id="292"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Cs/>
          <w:i/>
        </w:rPr>
        <w:t xml:space="preserve">Canadian Journal of Forest Research</w:t>
      </w:r>
      <w:r>
        <w:t xml:space="preserve">,</w:t>
      </w:r>
      <w:r>
        <w:t xml:space="preserve"> </w:t>
      </w:r>
      <w:r>
        <w:rPr>
          <w:iCs/>
          <w:i/>
        </w:rPr>
        <w:t xml:space="preserve">51</w:t>
      </w:r>
      <w:r>
        <w:t xml:space="preserve">(999), 1–11.</w:t>
      </w:r>
    </w:p>
    <w:bookmarkEnd w:id="292"/>
    <w:bookmarkEnd w:id="293"/>
    <w:bookmarkEnd w:id="2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103" Target="media/rId103.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hyperlink" Id="rId283" Target="http://hilgardia.ucanr.edu/Abstract/?a=hilg.v54n08p017" TargetMode="External" /><Relationship Type="http://schemas.openxmlformats.org/officeDocument/2006/relationships/hyperlink" Id="rId186" Target="https://CRAN.R-project.org/package=DHARMa" TargetMode="External" /><Relationship Type="http://schemas.openxmlformats.org/officeDocument/2006/relationships/hyperlink" Id="rId208" Target="https://CRAN.R-project.org/package=emmeans" TargetMode="External" /><Relationship Type="http://schemas.openxmlformats.org/officeDocument/2006/relationships/hyperlink" Id="rId191" Target="https://academic.oup.com/jof/article-abstract/83/8/494/4647048" TargetMode="External" /><Relationship Type="http://schemas.openxmlformats.org/officeDocument/2006/relationships/hyperlink" Id="rId193" Target="https://books.google.com?id=x3tw07l1IQQC" TargetMode="External" /><Relationship Type="http://schemas.openxmlformats.org/officeDocument/2006/relationships/hyperlink" Id="rId214" Target="https://catalog.hathitrust.org/Record/010837951" TargetMode="External" /><Relationship Type="http://schemas.openxmlformats.org/officeDocument/2006/relationships/hyperlink" Id="rId227" Target="https://digitalcommons.humboldt.edu/etd/269" TargetMode="External" /><Relationship Type="http://schemas.openxmlformats.org/officeDocument/2006/relationships/hyperlink" Id="rId235" Target="https://doi.org/10.1002/ece3.3737" TargetMode="External" /><Relationship Type="http://schemas.openxmlformats.org/officeDocument/2006/relationships/hyperlink" Id="rId290" Target="https://doi.org/10.1007/978-3-319-51727-8_13-1" TargetMode="External" /><Relationship Type="http://schemas.openxmlformats.org/officeDocument/2006/relationships/hyperlink" Id="rId158" Target="https://doi.org/10.1007/BF02858075" TargetMode="External" /><Relationship Type="http://schemas.openxmlformats.org/officeDocument/2006/relationships/hyperlink" Id="rId210" Target="https://doi.org/10.1007/s00442-002-0986-5" TargetMode="External" /><Relationship Type="http://schemas.openxmlformats.org/officeDocument/2006/relationships/hyperlink" Id="rId245" Target="https://doi.org/10.1007/s10310-009-0166-0" TargetMode="External" /><Relationship Type="http://schemas.openxmlformats.org/officeDocument/2006/relationships/hyperlink" Id="rId198" Target="https://doi.org/10.1007/s11056-015-9470-z" TargetMode="External" /><Relationship Type="http://schemas.openxmlformats.org/officeDocument/2006/relationships/hyperlink" Id="rId143" Target="https://doi.org/10.1007/s11056-018-9636-6" TargetMode="External" /><Relationship Type="http://schemas.openxmlformats.org/officeDocument/2006/relationships/hyperlink" Id="rId241" Target="https://doi.org/10.1016/S0378-1127(00)00698-8" TargetMode="External" /><Relationship Type="http://schemas.openxmlformats.org/officeDocument/2006/relationships/hyperlink" Id="rId127" Target="https://doi.org/10.1016/j.foreco.2005.01.034" TargetMode="External" /><Relationship Type="http://schemas.openxmlformats.org/officeDocument/2006/relationships/hyperlink" Id="rId249" Target="https://doi.org/10.1016/j.foreco.2007.03.062" TargetMode="External" /><Relationship Type="http://schemas.openxmlformats.org/officeDocument/2006/relationships/hyperlink" Id="rId279" Target="https://doi.org/10.1016/j.foreco.2008.01.025" TargetMode="External" /><Relationship Type="http://schemas.openxmlformats.org/officeDocument/2006/relationships/hyperlink" Id="rId131" Target="https://doi.org/10.1016/j.foreco.2008.11.028" TargetMode="External" /><Relationship Type="http://schemas.openxmlformats.org/officeDocument/2006/relationships/hyperlink" Id="rId216" Target="https://doi.org/10.1016/j.foreco.2009.07.008" TargetMode="External" /><Relationship Type="http://schemas.openxmlformats.org/officeDocument/2006/relationships/hyperlink" Id="rId206" Target="https://doi.org/10.1016/j.foreco.2010.02.022" TargetMode="External" /><Relationship Type="http://schemas.openxmlformats.org/officeDocument/2006/relationships/hyperlink" Id="rId269" Target="https://doi.org/10.1016/j.foreco.2012.08.030" TargetMode="External" /><Relationship Type="http://schemas.openxmlformats.org/officeDocument/2006/relationships/hyperlink" Id="rId263" Target="https://doi.org/10.1016/j.foreco.2013.04.015" TargetMode="External" /><Relationship Type="http://schemas.openxmlformats.org/officeDocument/2006/relationships/hyperlink" Id="rId200" Target="https://doi.org/10.1016/j.foreco.2014.01.045" TargetMode="External" /><Relationship Type="http://schemas.openxmlformats.org/officeDocument/2006/relationships/hyperlink" Id="rId167" Target="https://doi.org/10.1016/j.foreco.2014.06.025" TargetMode="External" /><Relationship Type="http://schemas.openxmlformats.org/officeDocument/2006/relationships/hyperlink" Id="rId274" Target="https://doi.org/10.1016/j.foreco.2016.05.018" TargetMode="External" /><Relationship Type="http://schemas.openxmlformats.org/officeDocument/2006/relationships/hyperlink" Id="rId152" Target="https://doi.org/10.1016/j.foreco.2016.09.010" TargetMode="External" /><Relationship Type="http://schemas.openxmlformats.org/officeDocument/2006/relationships/hyperlink" Id="rId251" Target="https://doi.org/10.1016/j.foreco.2021.119361" TargetMode="External" /><Relationship Type="http://schemas.openxmlformats.org/officeDocument/2006/relationships/hyperlink" Id="rId233" Target="https://doi.org/10.1016/j.foreco.2022.120136" TargetMode="External" /><Relationship Type="http://schemas.openxmlformats.org/officeDocument/2006/relationships/hyperlink" Id="rId229" Target="https://doi.org/10.1016/j.foreco.2022.120236" TargetMode="External" /><Relationship Type="http://schemas.openxmlformats.org/officeDocument/2006/relationships/hyperlink" Id="rId150" Target="https://doi.org/10.1016/j.foreco.2022.120353" TargetMode="External" /><Relationship Type="http://schemas.openxmlformats.org/officeDocument/2006/relationships/hyperlink" Id="rId277" Target="https://doi.org/10.1016/j.foreco.2022.120602" TargetMode="External" /><Relationship Type="http://schemas.openxmlformats.org/officeDocument/2006/relationships/hyperlink" Id="rId173" Target="https://doi.org/10.1023/A:1006502107495" TargetMode="External" /><Relationship Type="http://schemas.openxmlformats.org/officeDocument/2006/relationships/hyperlink" Id="rId253" Target="https://doi.org/10.1029/2020GL089858" TargetMode="External" /><Relationship Type="http://schemas.openxmlformats.org/officeDocument/2006/relationships/hyperlink" Id="rId266" Target="https://doi.org/10.1093/forestry/75.4.329" TargetMode="External" /><Relationship Type="http://schemas.openxmlformats.org/officeDocument/2006/relationships/hyperlink" Id="rId243" Target="https://doi.org/10.1093/forestry/75.4.339" TargetMode="External" /><Relationship Type="http://schemas.openxmlformats.org/officeDocument/2006/relationships/hyperlink" Id="rId255" Target="https://doi.org/10.1093/forestscience/16.3.339" TargetMode="External" /><Relationship Type="http://schemas.openxmlformats.org/officeDocument/2006/relationships/hyperlink" Id="rId202" Target="https://doi.org/10.1093/jof/38.9.729" TargetMode="External" /><Relationship Type="http://schemas.openxmlformats.org/officeDocument/2006/relationships/hyperlink" Id="rId239" Target="https://doi.org/10.1093/jof/96.7.4a" TargetMode="External" /><Relationship Type="http://schemas.openxmlformats.org/officeDocument/2006/relationships/hyperlink" Id="rId237" Target="https://doi.org/10.1093/jofore/fvab026" TargetMode="External" /><Relationship Type="http://schemas.openxmlformats.org/officeDocument/2006/relationships/hyperlink" Id="rId288" Target="https://doi.org/10.1093/wjaf/12.1.21" TargetMode="External" /><Relationship Type="http://schemas.openxmlformats.org/officeDocument/2006/relationships/hyperlink" Id="rId139" Target="https://doi.org/10.1093/wjaf/24.1.24" TargetMode="External" /><Relationship Type="http://schemas.openxmlformats.org/officeDocument/2006/relationships/hyperlink" Id="rId184" Target="https://doi.org/10.1093/wjaf/7.4.103" TargetMode="External" /><Relationship Type="http://schemas.openxmlformats.org/officeDocument/2006/relationships/hyperlink" Id="rId285" Target="https://doi.org/10.1098/rstb.2015.0178" TargetMode="External" /><Relationship Type="http://schemas.openxmlformats.org/officeDocument/2006/relationships/hyperlink" Id="rId154" Target="https://doi.org/10.1111/rec.12681" TargetMode="External" /><Relationship Type="http://schemas.openxmlformats.org/officeDocument/2006/relationships/hyperlink" Id="rId137" Target="https://doi.org/10.1139/X06-271" TargetMode="External" /><Relationship Type="http://schemas.openxmlformats.org/officeDocument/2006/relationships/hyperlink" Id="rId195" Target="https://doi.org/10.1139/X08-003" TargetMode="External" /><Relationship Type="http://schemas.openxmlformats.org/officeDocument/2006/relationships/hyperlink" Id="rId156" Target="https://doi.org/10.1139/cjfr-2022-0214" TargetMode="External" /><Relationship Type="http://schemas.openxmlformats.org/officeDocument/2006/relationships/hyperlink" Id="rId177" Target="https://doi.org/10.1139/x06-206" TargetMode="External" /><Relationship Type="http://schemas.openxmlformats.org/officeDocument/2006/relationships/hyperlink" Id="rId160" Target="https://doi.org/10.1139/x26-066" TargetMode="External" /><Relationship Type="http://schemas.openxmlformats.org/officeDocument/2006/relationships/hyperlink" Id="rId163" Target="https://doi.org/10.1139/x93-143" TargetMode="External" /><Relationship Type="http://schemas.openxmlformats.org/officeDocument/2006/relationships/hyperlink" Id="rId135" Target="https://doi.org/10.1186/s13717-019-0181-9" TargetMode="External" /><Relationship Type="http://schemas.openxmlformats.org/officeDocument/2006/relationships/hyperlink" Id="rId259" Target="https://doi.org/10.2737/PSW-GTR-256" TargetMode="External" /><Relationship Type="http://schemas.openxmlformats.org/officeDocument/2006/relationships/hyperlink" Id="rId171" Target="https://doi.org/10.2737/RMRS-GTR-164" TargetMode="External" /><Relationship Type="http://schemas.openxmlformats.org/officeDocument/2006/relationships/hyperlink" Id="rId219" Target="https://doi.org/10.2737/RMRS-RP-103" TargetMode="External" /><Relationship Type="http://schemas.openxmlformats.org/officeDocument/2006/relationships/hyperlink" Id="rId147" Target="https://doi.org/10.32614/RJ-2017-066" TargetMode="External" /><Relationship Type="http://schemas.openxmlformats.org/officeDocument/2006/relationships/hyperlink" Id="rId247" Target="https://doi.org/10.3390/f8050144" TargetMode="External" /><Relationship Type="http://schemas.openxmlformats.org/officeDocument/2006/relationships/hyperlink" Id="rId261" Target="https://doi.org/10.3390/su152316409" TargetMode="External" /><Relationship Type="http://schemas.openxmlformats.org/officeDocument/2006/relationships/hyperlink" Id="rId225" Target="https://doi.org/10.5558/tfc78397-3" TargetMode="External" /><Relationship Type="http://schemas.openxmlformats.org/officeDocument/2006/relationships/hyperlink" Id="rId204" Target="https://doi.org/10.5849/FS-2016-029R2" TargetMode="External" /><Relationship Type="http://schemas.openxmlformats.org/officeDocument/2006/relationships/hyperlink" Id="rId271" Target="https://esajournals.onlinelibrary.wiley.com/doi/full/10.1890/07-1755.1" TargetMode="External" /><Relationship Type="http://schemas.openxmlformats.org/officeDocument/2006/relationships/hyperlink" Id="rId221" Target="https://ir.library.oregonstate.edu/downloads/70795d72s" TargetMode="External" /><Relationship Type="http://schemas.openxmlformats.org/officeDocument/2006/relationships/hyperlink" Id="rId175" Target="https://scholarworks.calstate.edu/concern/theses/ws859j014" TargetMode="External" /><Relationship Type="http://schemas.openxmlformats.org/officeDocument/2006/relationships/hyperlink" Id="rId180" Target="https://www.elibrary.ru/item.asp?id=7397149" TargetMode="External" /><Relationship Type="http://schemas.openxmlformats.org/officeDocument/2006/relationships/hyperlink" Id="rId188" Target="https://www.frontiersin.org/articles/10.3389/ffgc.2020.00078" TargetMode="External" /><Relationship Type="http://schemas.openxmlformats.org/officeDocument/2006/relationships/hyperlink" Id="rId169" Target="https://www.fs.usda.gov/database/feis/plants/tree/notden/all.html" TargetMode="External" /><Relationship Type="http://schemas.openxmlformats.org/officeDocument/2006/relationships/hyperlink" Id="rId231" Target="https://www.fs.usda.gov/research/treesearch/37978" TargetMode="External" /><Relationship Type="http://schemas.openxmlformats.org/officeDocument/2006/relationships/hyperlink" Id="rId281" Target="https://www.fs.usda.gov/research/treesearch/41828" TargetMode="External" /><Relationship Type="http://schemas.openxmlformats.org/officeDocument/2006/relationships/hyperlink" Id="rId141" Target="https://www.fs.usda.gov/treesearch/pubs/55449" TargetMode="External" /><Relationship Type="http://schemas.openxmlformats.org/officeDocument/2006/relationships/hyperlink" Id="rId257" Target="https://www.fs.usda.gov/treesearch/pubs/60134" TargetMode="External" /><Relationship Type="http://schemas.openxmlformats.org/officeDocument/2006/relationships/hyperlink" Id="rId212" Target="https://www.google.com/books/edition/Sprout_Regeneration_of_Young_growth_Redw/48fMLtW9rRgC" TargetMode="External" /><Relationship Type="http://schemas.openxmlformats.org/officeDocument/2006/relationships/hyperlink" Id="rId182"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83" Target="http://hilgardia.ucanr.edu/Abstract/?a=hilg.v54n08p017" TargetMode="External" /><Relationship Type="http://schemas.openxmlformats.org/officeDocument/2006/relationships/hyperlink" Id="rId186" Target="https://CRAN.R-project.org/package=DHARMa" TargetMode="External" /><Relationship Type="http://schemas.openxmlformats.org/officeDocument/2006/relationships/hyperlink" Id="rId208" Target="https://CRAN.R-project.org/package=emmeans" TargetMode="External" /><Relationship Type="http://schemas.openxmlformats.org/officeDocument/2006/relationships/hyperlink" Id="rId191" Target="https://academic.oup.com/jof/article-abstract/83/8/494/4647048" TargetMode="External" /><Relationship Type="http://schemas.openxmlformats.org/officeDocument/2006/relationships/hyperlink" Id="rId193" Target="https://books.google.com?id=x3tw07l1IQQC" TargetMode="External" /><Relationship Type="http://schemas.openxmlformats.org/officeDocument/2006/relationships/hyperlink" Id="rId214" Target="https://catalog.hathitrust.org/Record/010837951" TargetMode="External" /><Relationship Type="http://schemas.openxmlformats.org/officeDocument/2006/relationships/hyperlink" Id="rId227" Target="https://digitalcommons.humboldt.edu/etd/269" TargetMode="External" /><Relationship Type="http://schemas.openxmlformats.org/officeDocument/2006/relationships/hyperlink" Id="rId235" Target="https://doi.org/10.1002/ece3.3737" TargetMode="External" /><Relationship Type="http://schemas.openxmlformats.org/officeDocument/2006/relationships/hyperlink" Id="rId290" Target="https://doi.org/10.1007/978-3-319-51727-8_13-1" TargetMode="External" /><Relationship Type="http://schemas.openxmlformats.org/officeDocument/2006/relationships/hyperlink" Id="rId158" Target="https://doi.org/10.1007/BF02858075" TargetMode="External" /><Relationship Type="http://schemas.openxmlformats.org/officeDocument/2006/relationships/hyperlink" Id="rId210" Target="https://doi.org/10.1007/s00442-002-0986-5" TargetMode="External" /><Relationship Type="http://schemas.openxmlformats.org/officeDocument/2006/relationships/hyperlink" Id="rId245" Target="https://doi.org/10.1007/s10310-009-0166-0" TargetMode="External" /><Relationship Type="http://schemas.openxmlformats.org/officeDocument/2006/relationships/hyperlink" Id="rId198" Target="https://doi.org/10.1007/s11056-015-9470-z" TargetMode="External" /><Relationship Type="http://schemas.openxmlformats.org/officeDocument/2006/relationships/hyperlink" Id="rId143" Target="https://doi.org/10.1007/s11056-018-9636-6" TargetMode="External" /><Relationship Type="http://schemas.openxmlformats.org/officeDocument/2006/relationships/hyperlink" Id="rId241" Target="https://doi.org/10.1016/S0378-1127(00)00698-8" TargetMode="External" /><Relationship Type="http://schemas.openxmlformats.org/officeDocument/2006/relationships/hyperlink" Id="rId127" Target="https://doi.org/10.1016/j.foreco.2005.01.034" TargetMode="External" /><Relationship Type="http://schemas.openxmlformats.org/officeDocument/2006/relationships/hyperlink" Id="rId249" Target="https://doi.org/10.1016/j.foreco.2007.03.062" TargetMode="External" /><Relationship Type="http://schemas.openxmlformats.org/officeDocument/2006/relationships/hyperlink" Id="rId279" Target="https://doi.org/10.1016/j.foreco.2008.01.025" TargetMode="External" /><Relationship Type="http://schemas.openxmlformats.org/officeDocument/2006/relationships/hyperlink" Id="rId131" Target="https://doi.org/10.1016/j.foreco.2008.11.028" TargetMode="External" /><Relationship Type="http://schemas.openxmlformats.org/officeDocument/2006/relationships/hyperlink" Id="rId216" Target="https://doi.org/10.1016/j.foreco.2009.07.008" TargetMode="External" /><Relationship Type="http://schemas.openxmlformats.org/officeDocument/2006/relationships/hyperlink" Id="rId206" Target="https://doi.org/10.1016/j.foreco.2010.02.022" TargetMode="External" /><Relationship Type="http://schemas.openxmlformats.org/officeDocument/2006/relationships/hyperlink" Id="rId269" Target="https://doi.org/10.1016/j.foreco.2012.08.030" TargetMode="External" /><Relationship Type="http://schemas.openxmlformats.org/officeDocument/2006/relationships/hyperlink" Id="rId263" Target="https://doi.org/10.1016/j.foreco.2013.04.015" TargetMode="External" /><Relationship Type="http://schemas.openxmlformats.org/officeDocument/2006/relationships/hyperlink" Id="rId200" Target="https://doi.org/10.1016/j.foreco.2014.01.045" TargetMode="External" /><Relationship Type="http://schemas.openxmlformats.org/officeDocument/2006/relationships/hyperlink" Id="rId167" Target="https://doi.org/10.1016/j.foreco.2014.06.025" TargetMode="External" /><Relationship Type="http://schemas.openxmlformats.org/officeDocument/2006/relationships/hyperlink" Id="rId274" Target="https://doi.org/10.1016/j.foreco.2016.05.018" TargetMode="External" /><Relationship Type="http://schemas.openxmlformats.org/officeDocument/2006/relationships/hyperlink" Id="rId152" Target="https://doi.org/10.1016/j.foreco.2016.09.010" TargetMode="External" /><Relationship Type="http://schemas.openxmlformats.org/officeDocument/2006/relationships/hyperlink" Id="rId251" Target="https://doi.org/10.1016/j.foreco.2021.119361" TargetMode="External" /><Relationship Type="http://schemas.openxmlformats.org/officeDocument/2006/relationships/hyperlink" Id="rId233" Target="https://doi.org/10.1016/j.foreco.2022.120136" TargetMode="External" /><Relationship Type="http://schemas.openxmlformats.org/officeDocument/2006/relationships/hyperlink" Id="rId229" Target="https://doi.org/10.1016/j.foreco.2022.120236" TargetMode="External" /><Relationship Type="http://schemas.openxmlformats.org/officeDocument/2006/relationships/hyperlink" Id="rId150" Target="https://doi.org/10.1016/j.foreco.2022.120353" TargetMode="External" /><Relationship Type="http://schemas.openxmlformats.org/officeDocument/2006/relationships/hyperlink" Id="rId277" Target="https://doi.org/10.1016/j.foreco.2022.120602" TargetMode="External" /><Relationship Type="http://schemas.openxmlformats.org/officeDocument/2006/relationships/hyperlink" Id="rId173" Target="https://doi.org/10.1023/A:1006502107495" TargetMode="External" /><Relationship Type="http://schemas.openxmlformats.org/officeDocument/2006/relationships/hyperlink" Id="rId253" Target="https://doi.org/10.1029/2020GL089858" TargetMode="External" /><Relationship Type="http://schemas.openxmlformats.org/officeDocument/2006/relationships/hyperlink" Id="rId266" Target="https://doi.org/10.1093/forestry/75.4.329" TargetMode="External" /><Relationship Type="http://schemas.openxmlformats.org/officeDocument/2006/relationships/hyperlink" Id="rId243" Target="https://doi.org/10.1093/forestry/75.4.339" TargetMode="External" /><Relationship Type="http://schemas.openxmlformats.org/officeDocument/2006/relationships/hyperlink" Id="rId255" Target="https://doi.org/10.1093/forestscience/16.3.339" TargetMode="External" /><Relationship Type="http://schemas.openxmlformats.org/officeDocument/2006/relationships/hyperlink" Id="rId202" Target="https://doi.org/10.1093/jof/38.9.729" TargetMode="External" /><Relationship Type="http://schemas.openxmlformats.org/officeDocument/2006/relationships/hyperlink" Id="rId239" Target="https://doi.org/10.1093/jof/96.7.4a" TargetMode="External" /><Relationship Type="http://schemas.openxmlformats.org/officeDocument/2006/relationships/hyperlink" Id="rId237" Target="https://doi.org/10.1093/jofore/fvab026" TargetMode="External" /><Relationship Type="http://schemas.openxmlformats.org/officeDocument/2006/relationships/hyperlink" Id="rId288" Target="https://doi.org/10.1093/wjaf/12.1.21" TargetMode="External" /><Relationship Type="http://schemas.openxmlformats.org/officeDocument/2006/relationships/hyperlink" Id="rId139" Target="https://doi.org/10.1093/wjaf/24.1.24" TargetMode="External" /><Relationship Type="http://schemas.openxmlformats.org/officeDocument/2006/relationships/hyperlink" Id="rId184" Target="https://doi.org/10.1093/wjaf/7.4.103" TargetMode="External" /><Relationship Type="http://schemas.openxmlformats.org/officeDocument/2006/relationships/hyperlink" Id="rId285" Target="https://doi.org/10.1098/rstb.2015.0178" TargetMode="External" /><Relationship Type="http://schemas.openxmlformats.org/officeDocument/2006/relationships/hyperlink" Id="rId154" Target="https://doi.org/10.1111/rec.12681" TargetMode="External" /><Relationship Type="http://schemas.openxmlformats.org/officeDocument/2006/relationships/hyperlink" Id="rId137" Target="https://doi.org/10.1139/X06-271" TargetMode="External" /><Relationship Type="http://schemas.openxmlformats.org/officeDocument/2006/relationships/hyperlink" Id="rId195" Target="https://doi.org/10.1139/X08-003" TargetMode="External" /><Relationship Type="http://schemas.openxmlformats.org/officeDocument/2006/relationships/hyperlink" Id="rId156" Target="https://doi.org/10.1139/cjfr-2022-0214" TargetMode="External" /><Relationship Type="http://schemas.openxmlformats.org/officeDocument/2006/relationships/hyperlink" Id="rId177" Target="https://doi.org/10.1139/x06-206" TargetMode="External" /><Relationship Type="http://schemas.openxmlformats.org/officeDocument/2006/relationships/hyperlink" Id="rId160" Target="https://doi.org/10.1139/x26-066" TargetMode="External" /><Relationship Type="http://schemas.openxmlformats.org/officeDocument/2006/relationships/hyperlink" Id="rId163" Target="https://doi.org/10.1139/x93-143" TargetMode="External" /><Relationship Type="http://schemas.openxmlformats.org/officeDocument/2006/relationships/hyperlink" Id="rId135" Target="https://doi.org/10.1186/s13717-019-0181-9" TargetMode="External" /><Relationship Type="http://schemas.openxmlformats.org/officeDocument/2006/relationships/hyperlink" Id="rId259" Target="https://doi.org/10.2737/PSW-GTR-256" TargetMode="External" /><Relationship Type="http://schemas.openxmlformats.org/officeDocument/2006/relationships/hyperlink" Id="rId171" Target="https://doi.org/10.2737/RMRS-GTR-164" TargetMode="External" /><Relationship Type="http://schemas.openxmlformats.org/officeDocument/2006/relationships/hyperlink" Id="rId219" Target="https://doi.org/10.2737/RMRS-RP-103" TargetMode="External" /><Relationship Type="http://schemas.openxmlformats.org/officeDocument/2006/relationships/hyperlink" Id="rId147" Target="https://doi.org/10.32614/RJ-2017-066" TargetMode="External" /><Relationship Type="http://schemas.openxmlformats.org/officeDocument/2006/relationships/hyperlink" Id="rId247" Target="https://doi.org/10.3390/f8050144" TargetMode="External" /><Relationship Type="http://schemas.openxmlformats.org/officeDocument/2006/relationships/hyperlink" Id="rId261" Target="https://doi.org/10.3390/su152316409" TargetMode="External" /><Relationship Type="http://schemas.openxmlformats.org/officeDocument/2006/relationships/hyperlink" Id="rId225" Target="https://doi.org/10.5558/tfc78397-3" TargetMode="External" /><Relationship Type="http://schemas.openxmlformats.org/officeDocument/2006/relationships/hyperlink" Id="rId204" Target="https://doi.org/10.5849/FS-2016-029R2" TargetMode="External" /><Relationship Type="http://schemas.openxmlformats.org/officeDocument/2006/relationships/hyperlink" Id="rId271" Target="https://esajournals.onlinelibrary.wiley.com/doi/full/10.1890/07-1755.1" TargetMode="External" /><Relationship Type="http://schemas.openxmlformats.org/officeDocument/2006/relationships/hyperlink" Id="rId221" Target="https://ir.library.oregonstate.edu/downloads/70795d72s" TargetMode="External" /><Relationship Type="http://schemas.openxmlformats.org/officeDocument/2006/relationships/hyperlink" Id="rId175" Target="https://scholarworks.calstate.edu/concern/theses/ws859j014" TargetMode="External" /><Relationship Type="http://schemas.openxmlformats.org/officeDocument/2006/relationships/hyperlink" Id="rId180" Target="https://www.elibrary.ru/item.asp?id=7397149" TargetMode="External" /><Relationship Type="http://schemas.openxmlformats.org/officeDocument/2006/relationships/hyperlink" Id="rId188" Target="https://www.frontiersin.org/articles/10.3389/ffgc.2020.00078" TargetMode="External" /><Relationship Type="http://schemas.openxmlformats.org/officeDocument/2006/relationships/hyperlink" Id="rId169" Target="https://www.fs.usda.gov/database/feis/plants/tree/notden/all.html" TargetMode="External" /><Relationship Type="http://schemas.openxmlformats.org/officeDocument/2006/relationships/hyperlink" Id="rId231" Target="https://www.fs.usda.gov/research/treesearch/37978" TargetMode="External" /><Relationship Type="http://schemas.openxmlformats.org/officeDocument/2006/relationships/hyperlink" Id="rId281" Target="https://www.fs.usda.gov/research/treesearch/41828" TargetMode="External" /><Relationship Type="http://schemas.openxmlformats.org/officeDocument/2006/relationships/hyperlink" Id="rId141" Target="https://www.fs.usda.gov/treesearch/pubs/55449" TargetMode="External" /><Relationship Type="http://schemas.openxmlformats.org/officeDocument/2006/relationships/hyperlink" Id="rId257" Target="https://www.fs.usda.gov/treesearch/pubs/60134" TargetMode="External" /><Relationship Type="http://schemas.openxmlformats.org/officeDocument/2006/relationships/hyperlink" Id="rId212" Target="https://www.google.com/books/edition/Sprout_Regeneration_of_Young_growth_Redw/48fMLtW9rRgC" TargetMode="External" /><Relationship Type="http://schemas.openxmlformats.org/officeDocument/2006/relationships/hyperlink" Id="rId182"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2025-04-27T14:19:08Z</dcterms:created>
  <dcterms:modified xsi:type="dcterms:W3CDTF">2025-04-27T14:19:08Z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2024-02-13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